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Plainte / 2014 / 12 vom 20. März 2014</w:t>
      </w:r>
    </w:p>
    <w:p>
      <w:r>
        <w:t>VD Tribunal cantonal, 2014-03-20, FR</w:t>
      </w:r>
    </w:p>
    <w:p>
      <w:r>
        <w:rPr>
          <w:b/>
        </w:rPr>
        <w:t xml:space="preserve">Quelle: </w:t>
      </w:r>
      <w:r>
        <w:t>https://mcp.opencaselaw.ch/entscheid/vd_findinfo_Plainte___2014___12</w:t>
      </w:r>
    </w:p>
    <w:p>
      <w:r>
        <w:t>FR: VD_FINDINFO Plainte / 2014 / 12 du 20 mars 2014</w:t>
      </w:r>
    </w:p>
    <w:p>
      <w:r>
        <w:t>IT: VD_FINDINFO Plainte / 2014 / 12 del 20 marzo 2014</w:t>
      </w:r>
    </w:p>
    <w:p>
      <w:pPr>
        <w:pStyle w:val="Heading2"/>
      </w:pPr>
      <w:r>
        <w:t>Regeste</w:t>
      </w:r>
    </w:p>
    <w:p>
      <w:r>
        <w:t>EFFET SUSPENSIF, PLAINTE{LP}, VOIE DE DROIT | 36 LP, 21 al. 1 LVLP</w:t>
      </w:r>
    </w:p>
    <w:p>
      <w:pPr>
        <w:pStyle w:val="Heading2"/>
      </w:pPr>
      <w:r>
        <w:t>Erwägungen</w:t>
      </w:r>
    </w:p>
    <w:p>
      <w:r>
        <w:rPr>
          <w:b/>
        </w:rPr>
        <w:t>E. 36</w:t>
      </w:r>
    </w:p>
    <w:p>
      <w:r>
        <w:t>LP; CPF, 31 juillet 2013/309 [26];CPF, 19 janvier 2012/1; CPF, 12 septembre 2011/28), que le droit cantonal de procédure (art. 21 et 28 LVLP [loi vaudoise d'application de la LP; RSV 280.05] ne prévoit pas non plus un tel recours, étant précisé que le Code de procédure civile fédéral ne s'applique pas à la procédure de plainte (art. 1 let. c CPC a contrario; Muster, La nouvelle procédure civile et le droit des poursuites et des faillites, in JT 2011 II 75 ss, p. 77, n. 2.2), que, par conséquent, le recours déposé par T.________ est irrecevable; attendu que le présent arrêt est rendu sans frais ni dépens (art. 20a al. 2 ch. 5 LP, 61 al. 2 let. a et 62 al. 2 OELP [ordonnance sur les émoluments perçus en application de la LP; RS 281.35]).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