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27 vom 23. September 2013</w:t>
      </w:r>
    </w:p>
    <w:p>
      <w:r>
        <w:t>VD Tribunal cantonal, 2013-09-23, FR</w:t>
      </w:r>
    </w:p>
    <w:p>
      <w:r>
        <w:rPr>
          <w:b/>
        </w:rPr>
        <w:t xml:space="preserve">Quelle: </w:t>
      </w:r>
      <w:r>
        <w:t>https://mcp.opencaselaw.ch/entscheid/vd_findinfo_Plainte___2013___27</w:t>
      </w:r>
    </w:p>
    <w:p>
      <w:r>
        <w:t>FR: VD_FINDINFO Plainte / 2013 / 27 du 23 septembre 2013</w:t>
      </w:r>
    </w:p>
    <w:p>
      <w:r>
        <w:t>IT: VD_FINDINFO Plainte / 2013 / 27 del 23 settembre 2013</w:t>
      </w:r>
    </w:p>
    <w:p>
      <w:pPr>
        <w:pStyle w:val="Heading2"/>
      </w:pPr>
      <w:r>
        <w:t>Regeste</w:t>
      </w:r>
    </w:p>
    <w:p>
      <w:r>
        <w:t>PLAINTE{LP}, AVIS DE SAISIE, ORDRE DE SAISIE, EXPERT | 17 LP, 18 al. 1 LP, 93 LP, 95 LP, 97 LP</w:t>
      </w:r>
    </w:p>
    <w:p>
      <w:pPr>
        <w:pStyle w:val="Heading2"/>
      </w:pPr>
      <w:r>
        <w:t>Erwägungen</w:t>
      </w:r>
    </w:p>
    <w:p>
      <w:r>
        <w:rPr>
          <w:b/>
        </w:rPr>
        <w:t>E. 17</w:t>
      </w:r>
    </w:p>
    <w:p>
      <w:r>
        <w:t>al. 1 LP qui doit être attaquée par une plainte déposée dans les dix jours conformément à l’art. 17 al. 2 LP; en revanche, conformément à l’art. 17 al. 3 LP, le déni de justice formel peut faire l’objet d’une plainte déposée en tout temps (ATF 109 III 14 c. 2; ATF 97 III 28 c. 2b; Cometta/Möckli, op. cit., nn. 24 et 25 ad art. 17 SchKG [LP]; Erard, in Dallèves et alii (éd.), op. cit., nn. 53 et 54 ad art. 17 LP). Enfin, si l’office a reconsidéré sa décision alors qu’une plainte était pendante, l’autorité de surveillance doit examiner celle-ci, à moins que la décision de reconsidération ait rendu la plainte sans objet (ATF 126 III 85; SJ 2000 I 449). b) En l’espèce, A.________ a déposé, les 26 février et 18 mars 2013, une plainte au sens de l’art. 17 LP, d’une part, contre les avis de saisie des 14 et 26 février 2013 et, d’autre part, contre le refus de l'Office d’expertiser les palettes d’engrais et les planches de chêne dont il proposait la saisie. En première instance, il a déclaré maintenir sa plainte contre l’avis de saisie du 14 février 2013 en dépit du fait que, le 1 er mars 2013, l’Office avait annulé cet avis et que, de ce fait, sa plainte était devenue sans objet sur ce point. En deuxième instance, le recourant tient compte de cette circonstance et ne conclut plus qu’à l’annulation de l’avis de saisie du 26 février 2013. Au vu des principes exposés plus haut, la voie de la plainte était ouverte contre ce deuxième avis de saisie. Quant à la décision de l’Office de refuser de donner suite à une requête du plaignant d’expertiser certains biens ne faisant pas l’objet d’un avis de saisie, il est douteux qu’elle puisse être qualifiée de mesure au sens de l’art. 17 LP, ce refus ne créant pas ni ne modifiant ou supprimant la situation juridique du plaignant, d’une part, et l’Office n’ayant pas l’obligation de procéder à une telle expertise ni le plaignant un droit à celle-ci, d'autre part. La recevabilité de la plainte contre ce refus peut cependant rester indécise, dès lors qu’elle devrait de toute manière être rejetée (cf. infra, cons. IV d). III. a) Dans un premier moyen, le recourant soutient que la créance saisie aurait un caractère relativement saisissable au sens de l’art. 93 LP pour le motif qu’elle devrait être considérée comme une prestation destinée à couvrir une perte de gain. Partant, l'Office intimé aurait violé l'art. 93 al. 1 in fine LP en ne vérifiant pas que le recourant et les membres de sa famille disposaient, malgré la saisie, des ressources indispensables pour satisfaire à leurs minima vitaux. b)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Par "tous les revenus du travail", il faut entendre toutes les prestations, en espèces ou en nature, constituant la rétribution d’un travail personnel, comme les honoraires, pourboires, commissions, provisions, gratifications, tantièmes, etc. (Gilliéron, op. cit., n. 28 ad art. 93 LP). Par "pensions et prestations de toutes sortes destinées à couvrir une perte de gain ou une prétention découlant du droit d'entretien", il faut comprendre les divers revenus de substitution à ceux perçus habituellement (Ochsner, op. cit., n. 60 ad art. 93). A titre d'exemples d'indemnités versées sous la forme d'un capital, la doctrine cite notamment l'indemnité de sortie versée en espèces par les institutions de prévoyance professionnelle (art. 5 LFLP [loi sur le libre passage; RS 831.42]), l'indemnité en capital allouée à la veuve dans l'assurance-accidents (art. 32 LAA [loi sur l'assurance-accidents; RS 832.20]) ou encore l'indemnité en capital conventionnelle de l'assurance militaire dans la mesure où elle couvre une prestation elle-même relativement saisissable (art. 58 LAM [loi sur l'assurance militaire; RS 833.1]) (Gilliéron, op. cit., n. 73 ad art. 93 LP). En revanche, la jurisprudence a posé que la prestation de sortie qu’une institution de prévoyance professionnelle doit payer en espèces à la demande du poursuivi n’est pas insaisissable, ni absolument au sens de l’art. 92 al. 1 a ch. 13 LP ni relativement au sens de l’art. 93 LP (ATF 118 III 20 c. 3a et 3b, JT 1994 II 117; ATF 118 III 44, JT 1994 II 86; ATF 117 II 20 c. 4b, rés. JT 1993 II 117; cf. Gilliéron, op. cit., n. 79 ad art. 93 LP et Erard, op. cit., n. 67 ad art. 93 LP). c) aa) En l’espèce, l’autorité de première instance a exposé en détail, et de manière convaincante - notamment en se fondant sur les statuts de la société coopérative B.________ -, les raisons pour lesquelles la créance détenue par le plaignant contre ladite société à la suite de sa démission de cette coopérative n’avait pas la qualité d’un revenu de substitution tendant à compenser une perte de gain mais visait à rembourser au coopérateur sortant sa part sociale. bb) Dans son recours, A.________ se contente de reprendre les arguments qu’il a fait valoir en première instance, sans exposer en quoi le raisonnement du premier juge serait contraire au droit ou injustifié dans les faits. En particulier, il soutient que l’indemnité de sortie de la coopérative est destinée à compenser les avantages qu’il perdra en ne faisant plus partie de cette société, pour le motif que sa sortie aura des effets qui se feront clairement ressentir sur le résultat de l’exploitation; cette indemnité serait ainsi versée "à titre de couverture de perte de gain". Il fonde toutefois son argumentation sur des faits qui ne ressortent pas du prononcé ni même du dossier et, en outre, méconnaît la nature juridique, voire même économique de l'indemnité litigieuse. En effet, en sus des arguments relevés par le premier juge, il convient de retenir que le recourant a été membre de la société coopérative B.________, ayant son siège à Montilliez, dont le but est "la promotion de l’agriculteur et plus particulièrement le lait, la mise en valeur de son patrimoine immobilier, l’achat de machines agricoles ou autres qu’elle mettra en location ou gratuitement à la disposition de ses membres". Il s’agit d’une société coopérative régie par les art. 828 ss CO [Code des obligations; RS 220]. En raison de sa sortie de la coopérative, et dans la mesure où les statuts le prévoient, le recourant a droit à une part de la fortune sociale, conformément à l’art. 864 al. 1 CO; dans le cadre de la saisie exercée sur les biens du coopérateur, l’administration de la faillite ou le préposé peuvent même exercer le droit de sortie en lieu et place de celui-ci, aux fins de saisir le droit à la part sociale auquel il peut prétendre (art. 845 CO). Le droit à l’avoir social est une créance du coopérateur sortant contre la coopérative (Carron/Nigg, in : Tercier/Amstutz (éd.), Commentaire romand, Code des obligations II, nn. 4 à 24 ad art. 864-865 CO). Comme tel, cette créance est saisissable (art. 95 al. 1 CO; cf. aussi ATF 76 III 98, JT 1951 II 75, selon lequel la part d’une coopérative de logement est saisissable). cc) Il résulte de ce qui précède que le droit du coopérateur sortant à une part de l’avoir social n’a en rien le caractère d’un revenu périodique, échu ou futur, ou d’une prestation destinée à remplacer un tel revenu. C’est donc à bon droit que l’autorité inférieure de surveillance a jugé que la créance litigieuse était une créance "ordinaire", qui n’avait pas le caractère d’un revenu relativement saisissable, au sens de l’art. 93 al. 1 LP, et que l’Office n’avait pas à estimer au préalable le minimum vital du débiteur et de sa famille et à le déduire du montant de la saisie. Tout au plus devait-il vérifier que le débiteur et sa famille disposait des denrées alimentaires et du combustible nécessaires pour les deux mois consécutifs à la saisie, ou l'argent liquide ou les créances indispensables pour les acquérir, en application de l'art. 92 al. 1 ch. 5 LP. Dans la mesure où la saisie ordonnée le 26 février 2013 ne concerne qu'un montant de 13'300 fr. sur une créance de plus de 30'000 fr. et où le recourant devait encore percevoir en juin 2013 une partie des paiements directs alloués à titre de contributions fédérales agricoles pour l'année 2012, dont le montant total est de l'ordre de 108'000 fr., c’est également à juste titre que le premier juge en a déduit qu’il n’était pas douteux que les exigences de l'art. 92 al. 1 ch. 5 LP étaient remplies. dd) Par surabondance, l’autorité inférieure de surveillance a relevé que, quand bien même il faisait valoir que le minimum vital de son ménage n'avait pas été établi, le plaignant n'avait pas collaboré durant la procédure de saisie et n'avait en particulier pas fourni les informations nécessaires au calcul de ses charges incompressibles; elle a en outre retenu que le plaignant n’avait pas produit devant elle de pièces à ce sujet et s’était contenté de préciser qu'outre son épouse, il avait également la charge de deux enfants mineurs et employait deux personnes sur son exploitation agricole; elle en a déduit qu’en pareilles circonstances, l'autorité de poursuite aurait été contrainte de déterminer d'office le minimum vital du ménage, sur la base des maigres informations en sa possession. Partant, le montant retenu aurait été réduit à son minimum, de sorte qu'une éventuelle atteinte n'aurait, selon toute vraisemblance, pas été établie. Dans son recours, A.________ conteste n'avoir pas été collaborant durant la procédure devant l’autorité inférieure de surveillance, soutenant que, dès lors qu’aucune information sur ses revenus et ses charges ne lui avait été demandée, on ne saurait lui reprocher de ne pas avoir fourni de documents à ce sujet. Vu la conclusion selon laquelle les exigences de l'art. 92 al. 1 ch. 5 LP étaient remplies (cf. supra cons. III c cc in fine), il n’est pas nécessaire d’examiner si le recourant a contrevenu à son obligation de renseigner l’autorité de surveillance. Au demeurant, l'intéressé ne conteste pas n’avoir pas été collaborant avec l’Office et ce fait ressort amplement des correspondances qui ont été échangées. d) Compte tenu des éléments qui précèdent, la saisie ordonnée le 26 février 2013 n’est pas contraire à l’art. 93 LP. Ce premier moyen est donc mal fondé. IV. a) Dans un deuxième moyen, le recourant soutient que la saisie devrait porter sur des planches de chêne et des palettes d’engrais, et non pas sur la créance qu’il détient à l'encontre de la société coopérative B.________, et que c’est à tort que l’Office, approuvé par l’autorité inférieure de surveillance, a refusé de mettre en œuvre une expertise pour estimer la valeur de ces objets. Il fait valoir qu’il a un intérêt "manifeste et primordial" à ce que la saisie porte sur ces objets, dont il n’est plus en mesure de se servir, plutôt que sur ladite créance, dont le recouvrement est indispensable à son exploitation. b) L'ordre dans lequel les différents biens doivent être saisis est défini à l'art. 95 LP. Cette disposition prévoit en particulier que la saisie doit porter au premier chef sur les biens meubles, y compris les créances et les droits relativement saisissables au sens de l'art. 93 LP (art. 95 al. 1 LP). Ce n'est qu'à défaut de biens meubles suffisants pour couvrir la créance que la saisie portera sur les immeubles (art. 95 al. 2 LP) et, finalement, sur les biens frappés de séquestre ou revendiqués par des tiers (art. 95 al. 3 LP). L'art. 95 LP se contente toutefois de définir les grandes lignes de l'ordre de la saisie, l'autorité de poursuite disposant dans de nombreux cas d'une certaine marge de manœuvre et d'appréciation. Il en va notamment ainsi lorsqu'il s'agit d'établir un ordre à l'intérieur d'une même catégorie, d'un même rang. Dans le cadre de son activité, le fonctionnaire qui procède à la saisie doit néanmoins respecter certains principes cardinaux. En particulier, il doit concilier autant que possible les intérêts du créancier et ceux du débiteur (art. 95 al. 5 LP). Il découle de ce principe que, d'une part, l'office des poursuites doit saisir en premier les droits de propriété sur des objets mobiliers de valeur courante dont le poursuivi peut se passer plus aisément, de préférence aux droits de propriété mobilière sur des choses dont il pourrait difficilement se priver (art. 95 al. 1 in fine LP) et, d'autre part, que l'office des poursuites doit saisir en premier lieu les droits patrimoniaux dont la réalisation procurera une prompte satisfaction au poursuivant de préférence à ceux dont la réalisation est soumise à de plus longs délais ou plus compliquée (ATF 115 III 45 c. 3a et les réf.; TF 7B.244/2005 du 11 janvier 2006 c. 3; ATF 32 I 388 c. VI; Gilliéron, op. cit . , n. 17 et 26 ad art. 95 LP). Lorsque les intérêts du créancier et du débiteur sont opposés, la priorité devra en principe être donnée à ceux du premier (Jaeger/Walder/Kull/Kottmann, Das Bundesgesetz über Schuldbetreibung und Konkurs, 5 ème éd., Zurich 2006, n. 24 ad art. 95 SchKG [LP]; de Gottrau, op. cit., n. 38 ad art. 95). Dans ce processus, il incombe également au fonctionnaire de faire l'estimation des objets qu'il saisit; à cet effet, il peut s’adjoindre un expert (art. 97 al. 1 LP). Il doit toutefois veiller à ne saisir que les biens nécessaires pour satisfaire les créanciers saisissants en capital, intérêts et frais (art. 97 al. 2 LP). Le recours à un expert s'impose lorsque le préposé – ou son substitut – ne dispose pas des connaissances particulières nécessaires à l'estimation des biens saisis (ATF 93 III 20 c. 4, JT 1967 II 44). Dans certaines circonstances, une expertise peut toutefois s'avérer inutile, voire déraisonnable, par exemple si elle coûte proportionnellement trop chère, ou encore si elle impose un délai trop long (ATF 110 III 65; Foëx, in Staehelin et alii (éd.), op. cit., nn. 14 et 15 ad art. 97 SchKG [LP]; Gilliéron, op. cit . , n. 21 ad art. 97). c) aa) En l’espèce, la créance détenue par le recourant contre la société coopérative B.________, d’une part, et les palettes d'engrais et les planches de chêne dont il propose la saisie, d’autre part, sont des biens meubles, au sens de l’art. 95 al. 1 LP. L’Office, approuvé par l’autorité inférieure de surveillance, a estimé que la réalisation de la créance pouvait être obtenue dans de meilleurs délais et était plus simple - elle ne nécessite ni enchères forcées ni expertise - que celle des objets proposés par le plaignant. Cette appréciation, conforme aux principes exposés plus haut, échappe à la critique. Le recourant n’expose pas en quoi elle serait contraire à la loi. Son unique argument tient au fait que, pour lui, la réalisation de ces objets, dont il n’a apparemment pas l’utilité, serait préférable. Ce faisant, il met en avant son propre intérêt, sans exposer en quoi la pesée d’intérêts effectuée par le premier juge, au terme de laquelle celui-ci aboutit à la conclusion que la réalisation de la créance doit primer, serait critiquable. bb) En outre, le premier juge a estimé que la réalisation de la créance saisie présentait l’avantage de couvrir de manière certaine le montant de la créance en poursuite, en capital, intérêts et frais, contrairement à la réalisation des biens que le plaignant propose, estimés par celui-ci à 9'600 francs. Dans son recours, le plaignant soutient que, dès lors qu’il existe un doute sur la valeur de ces biens, une expertise devrait être mise en œuvre pour les estimer. Il perd ainsi de vue que c’est lui-même qui, dans un premier temps, a déclaré qu’il détenait des objets pour environ 10'000 fr., qui pourraient être saisis, et qu’interpellé formellement par l’Office, sous la menace des sanctions pénales, de fournir des détails sur ces objets, il a, dans un deuxième temps, donné cette estimation de 9'600 fr. dans un courrier de son conseil du 20 novembre 2012; il perd également de vue que cette estimation était même le résultat d’un calcul très détaillé, fonction des prix au mètre cube de l’engrais et des planches en cause. Certes, après que l’Office l’eut informé le 7 décembre 2012 que le montant de la saisie, intérêts, frais de réalisation et de poursuite en sus, s’élèverait à 16'400 fr. et qu’un délai lui était donc imparti au 31 décembre 2012 pour s’acquitter de la différence de 6'800 fr., le poursuivi a prétendu, dans un troisième temps, qu’il avait volontairement sous-estimé le coût au mètre cube des planches en chêne ( 1'500 fr. [recte : 1'400 fr.] au lieu de 2'500 fr.) pour tenir compte du fait que celles-ci avaient séché à l’air libre et non dans un four; au demeurant, si l’on tient compte d’un coût des planches en chêne à 2'500 fr./m3 au lieu de 1'400 fr., l’estimation, selon les propres chiffres donnés par le plaignant, s’élèverait à 3'300 fr. de plus, soit à un total de 12'900 francs. Or, dans son recours, le plaignant prétend que l’estimation est sujette au doute, mais n’expose pas en quoi son estimation première à 9'600 fr. ou sa nouvelle estimation à 12'900 fr. auraient été erronées, ni en quoi la procédure de réalisation de ces objets - même estimés à 12'900 fr. - permettrait de couvrir de manière certaine le montant de la créance, en capital, intérêts et frais. En tout état de cause, à supposer même (ce qui est très douteux, au vu des aveux de l’intéressé) que le produit de la réalisation de ces objets, dont à déduire tous les frais - les coûts de l’expertise et de la procédure aux enchères notamment -, puisse permettre de couvrir la créance en capital, intérêts et frais, il n’en resterait pas moins que, du point de vue des principes rappelés plus haut de rapidité et de simplicité, la réalisation de la créance devrait encore primer. d) La saisie devant d’abord porter sur la créance détenue contre la société coopérative B.________ par le recourant, ce dernier n’a pas d’intérêt juridiquement protégé à faire expertiser des biens mobiliers non saisis. A supposer qu’elle soit recevable, la plainte déposée par le recourant contre le refus d’expertiser ces objets devrait être rejetée. Ce second moyen est donc également infondé. V. Le recours doit ainsi être rejeté et le prononcé confirmé. L'arrêt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