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46 vom 30. November 2012</w:t>
      </w:r>
    </w:p>
    <w:p>
      <w:r>
        <w:t>VD Tribunal cantonal, 2012-11-30, FR</w:t>
      </w:r>
    </w:p>
    <w:p>
      <w:r>
        <w:rPr>
          <w:b/>
        </w:rPr>
        <w:t xml:space="preserve">Quelle: </w:t>
      </w:r>
      <w:r>
        <w:t>https://mcp.opencaselaw.ch/entscheid/vd_findinfo_Plainte___2012___46</w:t>
      </w:r>
    </w:p>
    <w:p>
      <w:r>
        <w:t>FR: VD_FINDINFO Plainte / 2012 / 46 du 30 novembre 2012</w:t>
      </w:r>
    </w:p>
    <w:p>
      <w:r>
        <w:t>IT: VD_FINDINFO Plainte / 2012 / 46 del 30 novembre 2012</w:t>
      </w:r>
    </w:p>
    <w:p>
      <w:pPr>
        <w:pStyle w:val="Heading2"/>
      </w:pPr>
      <w:r>
        <w:t>Regeste</w:t>
      </w:r>
    </w:p>
    <w:p>
      <w:r>
        <w:t>LIQUIDATION SOMMAIRE DE LA FAILLITE, COMMUNAUTÉ HÉRÉDITAIRE, OPC | 652 CC, 14 LDFR, 36 LDFR, 18 al. 1 LP, 231 LP, 256 LP, 1 al. 1 OPC, 16 OPC, 8 al. 1 OPC, 1 al. 1 ORFI, 1 al. 2 ORFI</w:t>
      </w:r>
    </w:p>
    <w:p>
      <w:pPr>
        <w:pStyle w:val="Heading2"/>
      </w:pPr>
      <w:r>
        <w:t>Erwägungen</w:t>
      </w:r>
    </w:p>
    <w:p>
      <w:r>
        <w:rPr>
          <w:b/>
        </w:rPr>
        <w:t>E. 40</w:t>
      </w:r>
    </w:p>
    <w:p>
      <w:r>
        <w:t>c. 3b). Enfin, le Tribunal fédéral a jugé (ATF 135 III 179 c. 2.5) qu'en cas de vente aux enchères d'une part de communauté héréditaire, l'adjudicataire de la part ne prend pas la place du poursuivi dans la communauté. Ce qui est réalisé, c'est la part de liquidation lui revenant, ainsi que son droit de faire fixer cette part et de se la faire payer (ATF 80 III 117 c. 1). L'adjudicataire ne reçoit ainsi de l'office des poursuites qu'un certificat constatant qu'il est subrogé au droit du débiteur de demander le partage de la communauté et de toucher le produit de la liquidation (art. 11 al. 2 OPC), ce qui ne signifie pas qu'il devient titulaire des droits patrimoniaux compris dans le patrimoine commun (Gilliéron, Commentaire de la loi fédérale sur la poursuite pour dettes et la faillite, n. 27 ad art. 132 LP et réf. cit.). Tout comme le cessionnaire d'une part de communauté héréditaire (art. 635 al. 2 CC), le tiers qui a saisi la part échue à un héritier n'est pas autorisé à intervenir directement dans le partage, mais il peut demander que l'autorité intervienne au partage en lieu et place de cet héritier (art. 609 al. 1 CC; ATF 96 III 10 c. 5; ATF 87 II 218). c) Dès lors que l'administration de la faillite n'est clairement pas en droit de se prononcer sur le rachat du domaine de T.________, ce qu'elle ne prétend d'ailleurs pas, le seul point à examiner dans le cadre du présent recours consiste à déterminer si l'administration de la faillite exerce correctement ou non son pouvoir d'appréciation, conféré par l'art. 16 OCPC, en voulant réaliser les droits de feu G.C.________ dans la succession non partagée de son père par une vente de gré à gré de ces droits à O.C.________ au prix de 25'895 fr. 15, sachant qu'il y a eu plusieurs offres supérieures, ou, plus précisément, si la décision de l'autorité inférieure peut être confirmée ou non, pour les motifs qu'elle a retenus ou pour d'autres motifs. Selon la doctrine (Foëx, Commentaire romand, n. 18 ad art. 256 LP et réf. cit.), l'art. 256 al. 3 LP ne confère pas un droit de préemption aux créanciers; ceux-ci ne sont pas tenus par les conditions convenues avec le tiers et l'administration de la faillite n'a pas l'obligation d'accepter d'emblée une offre supérieure émanant d'un créancier, mais conserve la faculté de demander préalablement au tiers s'il entend surenchérir. Si tel est le cas, elle doit donner à nouveau l'occasion aux créanciers de présenter une offre supérieure. L'administration de la faillite est en principe tenue d'attribuer le bien à l'auteur de l'offre la plus élevée. En invitant l'office à vendre aux enchères la part de liquidation litigieuse, l'autorité inférieure a pris une décision conforme au principe rappelé ci-dessus, permettant à chacun de surenchérir. Il n'apparaît en outre pas contraire au droit ni inopportun d'avoir laissé à l'office le choix entre des enchères privées ou publiques. La décision attaquée est ainsi exempte de critique dans son résultat, au regard de la  LP et de l'OPC. III. Il reste à examiner la question de l'application éventuelle de la LDFR, plus précisément de la qualification éventuelle du domaine de T.________ d'entreprise agricole au sens de cette loi, que l'autorité inférieure a laissée ouverte, considérant qu'elle n'était pas décisive pour le sort de la plainte. a) Le recourant a requis de la cour de céans qu'elle instruise cette question, à titre préalable, au besoin par une expertise. Il a ainsi requis une mesure d'instruction et non pas, contrairement à ce que soutiennent les intimés, pris une conclusion nouvelle. L'art. 28 al. 2 LVLP prévoit que le recourant peut alléguer des faits nouveaux et produire de nouvelles pièces. L'art. 33 LVLP prévoit que l'art. 23 LVLP, notamment, est applicable par analogie à la procédure de recours. Il résulte de ce renvoi que la cour de céans peut ordonner librement les mesures d'instruction qui lui paraissent nécessaires. Elle peut notamment entendre des témoins et ordonner la production de pièces. Elle dispose à cet effet des mêmes pouvoirs qu'en procédure civile contentieuse. Les règles prévues à l'art. 20a al. 2 LP sont réservées. La réquisition de mesure d'instruction en question n'est dès lors pas irrecevable. b) Autre est la question de savoir si cette mesure d'instruction est nécessaire ou non. aa) Dans le cadre de cet examen, il est important de rappeler tout d'abord que la réalisation à laquelle il doit être procédé porte sur les droits indivis de feu G.C.________ dans la succession non partagée de son père, comportant, notamment, une part de copropriété d'une demie sur les immeubles formant le domaine de T.________. Elle ne porte pas sur ce domaine, ni sur un ou des immeuble(s), ni sur ladite part de copropriété. Or, sans avoir à trancher la question de savoir si le domaine en cause constitue un ou des immeuble(s) agricole(s) ou une entreprise agricole, au sens des art. 6 à 8 LDFR, entrant dans le champ d'application de la loi délimité par ses art. 2 à 4, on constate que la LDFR n'assimile pas aux immeubles les droits de propriété commune sur les immeubles, alors que, conformément à l'art. 655 al. 2 ch. 4 CC, elle assimile expressément aux immeubles les parts de copropriété sur les immeubles (art. 3 al. 1 LDFR). La seule disposition de la LDFR instituant un droit à l'attribution en cas de propriété commune est l'art. 14 LDFR, ainsi libellé : "1 S’il existe dans une succession une participation, transmissible par succession, à des rapports de propriété commune, tout héritier peut demander de prendre la part du défunt, aux conditions auxquelles il pourrait invoquer l’attribution de l’entreprise agricole. 2 S’il existe dans une succession une participation à des rapports de propriété commune et que ceux-ci prennent fin par la mort d’un propriétaire commun, tout héritier peut demander de coopérer à la place du défunt à la liquidation de la propriété commune aux conditions auxquelles il pourrait invoquer l’attribution de l’entreprise agricole." Cette disposition est inapplicable en l'espèce, dès lors que le droit à l'attribution n'existe que pour les héritiers et qu'il n'y a précisément plus d'héritier de feu G.C.________, sa succession ayant été répudiée. On ne se trouve pas non plus dans l'un des cas prévus par les art. 36 et 37 LDFR, dès lors que les rapports de propriété commune en cause ne sont pas fondés sur un contrat ni ne lient des conjoints et qu'en outre, ils ne prennent pas fin, l'objet de la réalisation litigieuse n'étant pas la dissolution ou le partage de l'hoirie A.C.________. Enfin, l'art. 45 LDFR institue un droit de préemption sur l'entreprise ou l'immeuble agricole qui appartient à plusieurs propriétaires (propriété commune ou copropriété) en cas d'aliénation de l'entreprise ou de l'immeuble, ce qui n'est pas la situation visée en l'espèce. Il s'ensuit que, même applicable, la LDFR ne confère à personne, à ce stade, un droit de préemption ou d'attribution sur les droits à réaliser. En particulier, elle n'oblige pas l'administration de la faillite à vendre ces droits à O.C.________, à qui leur adjudication n'est pas réservée, contrairement à ce qu'indique l'avis de droit produit par les intimés. bb) Reste la question de la valeur de ces droits. La circulaire comporte l'indication d'une valeur vénale et d'une valeur de rendement du domaine, soit 1'356'280 fr. et 207'161 fr., et l'estimation de la "part du défunt de un huitième", soit 25'895 fr. 15 (valeur de rendement). Ces indications suffisent et l'on ne saurait reprocher à l'administration de la faillite de ne pas avoir fourni aux créanciers d'autre estimation de la valeur potentielle, selon leur éventuelle attribution future, des droits indivis. Si les tiers/créanciers intéressés considèrent qu'O.C.________ ou un autre héritier ne pourra pas se voir attribuer le domaine agricole en vertu de la LDFR, soit parce que cette loi n'est pas applicable, soit pour un autre motif – la LDFR fixant un certain nombre de conditions à l'attribution –, il leur est loisible d'en tenir compte lorsqu'ils seront amenés à surenchérir. Ni l'administration de la faillite ni l'autorité de surveillance n'ont à fournir davantage d'indications chiffrées relatives à la valeur de réalisation - vénale ou de rendement - des droits à réaliser. Cette valeur dépendra du sort, amiable ou judiciaire, de la procédure de partage des deux successions et de la copropriété, soit de multiples paramètres factuels et juridiques que ni l'administration de la faillite ni l'autorité de surveillance n'ont à trancher à titre préjudiciel au stade de la détermination du mode de réalisation des droits indivis. On ne saurait leur demander de faire un pronostic sur le sort de la procédure de partage. C'est ainsi à juste titre que l'autorité inférieure a considéré que la question de la qualification du domaine de T.________ d'entreprise agricole au sens de la LDFR n'était pas déterminante. La mesure d'instruction requise est dès lors inutile et doit être rejetée. IV. Dans le cadre de la vente aux enchères – publique ou privée, selon son appréciation – qu'elle est invitée à organiser, l'administration de la faillite devra en principe attribuer les droits vendus à celui qui émettra l'offre la plus intéressante pour les créanciers de la masse en faillite. L'adjudicataire ne prendra pas la place de la masse en faillite dans la communauté. Il recevra uniquement un certificat au sens de l'art. 11 al. 2 OPC constatant qu'il a le droit de demander le partage de la communauté - soit de la succession de feu A.C.________ - et de toucher le produit de la liquidation. Il ne deviendra donc pas titulaire des droits communs et ne participera pas à la procédure de partage. Le motif de suspension du procès en partage découlant de l'art. 207 LP devrait disparaître, le procès en partage pouvant reprendre, soit uniquement entre les héritiers, l'adjudicataire ne prenant pas la place de feu G.C.________ dans cette procédure, soit avec le concours de l'autorité prévue par l'art. 609 CC. V. Vu ce qui précède, le recours doit être rejeté et le prononcé de l'autorité inférieure de surveillance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