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2012 / 1 vom 19. Januar 2012</w:t>
      </w:r>
    </w:p>
    <w:p>
      <w:r>
        <w:t>VD Tribunal cantonal, 2012-01-19, FR</w:t>
      </w:r>
    </w:p>
    <w:p>
      <w:r>
        <w:rPr>
          <w:b/>
        </w:rPr>
        <w:t xml:space="preserve">Quelle: </w:t>
      </w:r>
      <w:r>
        <w:t>https://mcp.opencaselaw.ch/entscheid/vd_findinfo_Plainte___2012___1</w:t>
      </w:r>
    </w:p>
    <w:p>
      <w:r>
        <w:t>FR: VD_FINDINFO Plainte / 2012 / 1 du 19 janvier 2012</w:t>
      </w:r>
    </w:p>
    <w:p>
      <w:r>
        <w:t>IT: VD_FINDINFO Plainte / 2012 / 1 del 19 gennaio 2012</w:t>
      </w:r>
    </w:p>
    <w:p>
      <w:pPr>
        <w:pStyle w:val="Heading2"/>
      </w:pPr>
      <w:r>
        <w:t>Regeste</w:t>
      </w:r>
    </w:p>
    <w:p>
      <w:r>
        <w:t>EFFET SUSPENSIF, PLAINTE À L'AUTORITÉ DE SURVEILLANCE, VOIE DE DROIT | 36 LP, 21 al. 1 LVLP, 28 LVLP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LP; CPF, 23 février 2004/7 et les arrêts cités; CPF, 25 septembre 2009/36; CPF, 12 septembre 2011/28), que le droit cantonal de procédure (art. 21 et 28 LVLP [loi vaudoise d'application de la LP; RSV 280.05] ne prévoit pas non plus un tel recours, étant précisé que le Code de procédure civile fédéral ne s'applique pas à la procédure de plainte (art. 1 let. c CPC a contrario; Muster, La nouvelle procédure civile et le droit des poursuites et des faillites, in JT 2011 II 75 ss, p. 77, n. 2.2), que, par conséquent, le recours déposé par G.________ est irrecevable; attendu que le présent arrêt est rendu sans frais ni dépens (art. 20a al. 2 ch. 5 LP, 61 al. 2 let. a et 62 al. 2 OELP [ordonnance sur les émoluments perçus en application de la LP; RS 281.35]).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