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Plainte / 2011 / 5 vom 25. März 2011</w:t>
      </w:r>
    </w:p>
    <w:p>
      <w:r>
        <w:t>VD Tribunal cantonal, 2011-03-25, FR</w:t>
      </w:r>
    </w:p>
    <w:p>
      <w:r>
        <w:rPr>
          <w:b/>
        </w:rPr>
        <w:t xml:space="preserve">Quelle: </w:t>
      </w:r>
      <w:r>
        <w:t>https://mcp.opencaselaw.ch/entscheid/vd_findinfo_Plainte___2011___5</w:t>
      </w:r>
    </w:p>
    <w:p>
      <w:r>
        <w:t>FR: VD_FINDINFO Plainte / 2011 / 5 du 25 mars 2011</w:t>
      </w:r>
    </w:p>
    <w:p>
      <w:r>
        <w:t>IT: VD_FINDINFO Plainte / 2011 / 5 del 25 marzo 2011</w:t>
      </w:r>
    </w:p>
    <w:p>
      <w:pPr>
        <w:pStyle w:val="Heading2"/>
      </w:pPr>
      <w:r>
        <w:t>Regeste</w:t>
      </w:r>
    </w:p>
    <w:p>
      <w:r>
        <w:t>PLAINTE{LP}, DÉLAI LÉGAL, DÉCISION D'IRRECEVABILITÉ | 17 al. 2 LP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OELP).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