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35 vom 5. Mai 2005</w:t>
      </w:r>
    </w:p>
    <w:p>
      <w:r>
        <w:t>VD Tribunal cantonal, 2005-05-05, FR</w:t>
      </w:r>
    </w:p>
    <w:p>
      <w:r>
        <w:rPr>
          <w:b/>
        </w:rPr>
        <w:t xml:space="preserve">Quelle: </w:t>
      </w:r>
      <w:r>
        <w:t>https://mcp.opencaselaw.ch/entscheid/vd_findinfo_Plainte___2011___35</w:t>
      </w:r>
    </w:p>
    <w:p>
      <w:r>
        <w:t>FR: VD_FINDINFO Plainte / 2011 / 35 du 5 mai 2005</w:t>
      </w:r>
    </w:p>
    <w:p>
      <w:r>
        <w:t>IT: VD_FINDINFO Plainte / 2011 / 35 del 5 maggio 2005</w:t>
      </w:r>
    </w:p>
    <w:p>
      <w:pPr>
        <w:pStyle w:val="Heading2"/>
      </w:pPr>
      <w:r>
        <w:t>Regeste</w:t>
      </w:r>
    </w:p>
    <w:p>
      <w:r>
        <w:t>PLAINTE{LP}, CONDITION DE RECEVABILITÉ, GAGE IMMOBILIER, POURSUITE EN RÉALISATION DE GAGE, RÉQUISITION DE RÉALISER | 154 LP, 17 LP</w:t>
      </w:r>
    </w:p>
    <w:p>
      <w:pPr>
        <w:pStyle w:val="Heading2"/>
      </w:pPr>
      <w:r>
        <w:t>Erwägungen</w:t>
      </w:r>
    </w:p>
    <w:p>
      <w:r>
        <w:rPr>
          <w:b/>
        </w:rPr>
        <w:t>E. 24</w:t>
      </w:r>
    </w:p>
    <w:p>
      <w:r>
        <w:t>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l’art.17 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 18 septembre 2002/45; CPF, 24 juin 2002/26; CPF, 5 juin 2002/28 .).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qu'un acte susceptible de plainte doit être un acte matériel ayant pour objet la continuation ou l’achèvement de la procédure d’exécution forcée et produisant des effets externes. Tel n’est pas le cas d’une déclaration d’ordre général, d’une communication de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 Au vu de ce qui précède, il convient d'admettre que l' avis de l'office du 7 février 2011 – qui n'est qu'une information adressée au débiteur, et à son épouse, sur le fait que le créancier avait requis la vente et que des délais seront ultérieurement fixés à cet effet – n'était pas susceptible d'ouvrir la voie d'une plainte au sens de l'art. 17 LP. Le décompte annexé à l'avis ne constitue pas non plus une mesure ou une décision au sens de l'art. 17 al. 1 LP. Il s'agit également d'une information donnée par l'office sur le solde de la créance dont le montant évolue constamment en raison des intérêts, voire les frais, qui s'y ajoutent. Dans ces conditions, le premier juge aurait dû déclarer irrecevable la plainte du 28 février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