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2011 / 2 vom 9. April 2009</w:t>
      </w:r>
    </w:p>
    <w:p>
      <w:r>
        <w:t>VD Tribunal cantonal, 2009-04-09, FR</w:t>
      </w:r>
    </w:p>
    <w:p>
      <w:r>
        <w:rPr>
          <w:b/>
        </w:rPr>
        <w:t xml:space="preserve">Quelle: </w:t>
      </w:r>
      <w:r>
        <w:t>https://mcp.opencaselaw.ch/entscheid/vd_findinfo_Plainte___2011___2</w:t>
      </w:r>
    </w:p>
    <w:p>
      <w:r>
        <w:t>FR: VD_FINDINFO Plainte / 2011 / 2 du 9 avril 2009</w:t>
      </w:r>
    </w:p>
    <w:p>
      <w:r>
        <w:t>IT: VD_FINDINFO Plainte / 2011 / 2 del 9 aprile 2009</w:t>
      </w:r>
    </w:p>
    <w:p>
      <w:pPr>
        <w:pStyle w:val="Heading2"/>
      </w:pPr>
      <w:r>
        <w:t>Regeste</w:t>
      </w:r>
    </w:p>
    <w:p>
      <w:r>
        <w:t>PARTICIPATION À LA SAISIE | 110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let. a et 62 al. 2 OELP – ordonnance sur les émoluments perçus en application de la LP; RS 281.35).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