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36 vom 18. Januar 2011</w:t>
      </w:r>
    </w:p>
    <w:p>
      <w:r>
        <w:t>VD Tribunal cantonal, 2011-01-18, FR</w:t>
      </w:r>
    </w:p>
    <w:p>
      <w:r>
        <w:rPr>
          <w:b/>
        </w:rPr>
        <w:t xml:space="preserve">Quelle: </w:t>
      </w:r>
      <w:r>
        <w:t>https://mcp.opencaselaw.ch/entscheid/vd_findinfo_Plainte___2010___36</w:t>
      </w:r>
    </w:p>
    <w:p>
      <w:r>
        <w:t>FR: VD_FINDINFO Plainte / 2010 / 36 du 18 janvier 2011</w:t>
      </w:r>
    </w:p>
    <w:p>
      <w:r>
        <w:t>IT: VD_FINDINFO Plainte / 2010 / 36 del 18 gennaio 2011</w:t>
      </w:r>
    </w:p>
    <w:p>
      <w:pPr>
        <w:pStyle w:val="Heading2"/>
      </w:pPr>
      <w:r>
        <w:t>Regeste</w:t>
      </w:r>
    </w:p>
    <w:p>
      <w:r>
        <w:t>PLAINTE{LP}, DÉLAI, AVIS DE SAISIE | 17 al. 2 LP</w:t>
      </w:r>
    </w:p>
    <w:p>
      <w:pPr>
        <w:pStyle w:val="Heading2"/>
      </w:pPr>
      <w:r>
        <w:t>Erwägungen</w:t>
      </w:r>
    </w:p>
    <w:p>
      <w:r>
        <w:rPr>
          <w:b/>
        </w:rPr>
        <w:t>E. 31</w:t>
      </w:r>
    </w:p>
    <w:p>
      <w:r>
        <w:t>al. 3 LP – loi fédérale sur la poursuite pour dettes et la faillites; RS 281.1 – et art. 28 al. 1 LVLP – loi vaudoise d'application de la LP; RSV 280.05), et comportant des conclusions et l'énoncé des moyens invoqués (art. 28 al. 3 LVLP), le recours est recevable.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21 juin 2010/14; CPF, 11 juillet 2007/16; CPF, 17 janvier 2007/38 et les références citées). En contestant la décision de l’office de suivre à la réquisition de continuer la poursuite, le recourant s’en prend en réalité à l’avis de saisie adressé au poursuivi le lendemain de la réception de la réquisition de continuer la poursuite, comme l’a considéré à juste titre le premier juge. Les conclusions, tant de la plainte que du recours, tendent du reste à ce qu'il soit ordonné à l'office de rejeter la réquisition de continuer la poursuite. b) La plainte contre une mesure de l’office, notamment contre sa décision de donner suite à une réquisition de continuer la poursuite,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Gilliéron, op. cit., nn. 222-223 ad art. 17 LP). Si le délai n’est pas observé, la décision ou mesure en cause entre en force, sous réserve d’une éventuelle constatation de nullité, hors délai de plainte, selon l’art. 22 al. 1 LP (Jeandin, Poursuite pour dettes et faillite, La plainte, FJS 679, pp. 14-15 ; TF 7B.233/2004 du 24 décembre 2004 c. 1.1). La confirmation, par l’autorité de poursuite, d’une décision contre laquelle le destinataire n’avait pas protesté ne fait pas revivre le délai de plainte, ne le restitue pas et ne fait pas partir de nouveau délai (ATF 29 I 233 c. 2; Gilliéron, op. cit., n. 184 ad art. 17 LP). Une nouvelle décision identique à une décision précédente ne peut faire courir un nouveau délai de plainte que si, entre-temps, des faits nouveaux se sont produits, qui soient de nature à modifier la décision (Gilliéron, op. cit., n. 185 ad art. 17 LP). c) En l’espèce, l’avis de saisie litigieux a été adressé au débiteur le 20 avril 2010 et son conseil a pris contact par téléphone avec l’office le 5 mai 2010 pour indiquer que son client serait absent le jour fixé pour la saisie le 10 mai suivant. Il a ainsi manifestement reçu cet avis avant le 5 mai 2010, voire au plus tard ce jour-là. Le délai pour déposer plainte venait ainsi à échéance le 14 mai 2010 ou au plus tard, le 15 mai 2010 tombant un samedi, le lundi 17 mai 2010. La plainte formée le 31 mai 2010 était ainsi manifestement tardive, comme l’a considéré à juste titre le premier juge. La nouvelle convocation du débiteur du 18 mai 2010, qui n’est pas un nouvel avis de saisie, mais le simple déplacement de la date fixée pour procéder à la saisie, ne saurait avoir eu pour conséquence de faire revivre le délai de plainte contre l’avis de saisie. Enfin, l’avis de saisie du 20 avril 2010 n’est nullement contraire à une disposition édictée dans l’intérêt public ou dans l’intérêt de personnes qui ne sont pas parties à la procédure, qui permettrait de faire abstraction du délai péremptoire de l’art. 17 LP. III. Le recours doit ainsi être rejeté et le prononcé confirmé. La procédure de plainte et de recours contre une décision sur plainte est gratuite (art. 20a al. 2 ch. 5 LP et art. 61 al. 2 let. a OELP) et il ne peut être alloué aucun dépens dans cette procédure (62 al. 2 OELP). Conformément à ces dispositions,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