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18 vom 7. Juli 2010</w:t>
      </w:r>
    </w:p>
    <w:p>
      <w:r>
        <w:t>VD Tribunal cantonal, 2010-07-07, FR</w:t>
      </w:r>
    </w:p>
    <w:p>
      <w:r>
        <w:rPr>
          <w:b/>
        </w:rPr>
        <w:t xml:space="preserve">Quelle: </w:t>
      </w:r>
      <w:r>
        <w:t>https://mcp.opencaselaw.ch/entscheid/vd_findinfo_Plainte___2010___18</w:t>
      </w:r>
    </w:p>
    <w:p>
      <w:r>
        <w:t>FR: VD_FINDINFO Plainte / 2010 / 18 du 7 juillet 2010</w:t>
      </w:r>
    </w:p>
    <w:p>
      <w:r>
        <w:t>IT: VD_FINDINFO Plainte / 2010 / 18 del 7 luglio 2010</w:t>
      </w:r>
    </w:p>
    <w:p>
      <w:pPr>
        <w:pStyle w:val="Heading2"/>
      </w:pPr>
      <w:r>
        <w:t>Regeste</w:t>
      </w:r>
    </w:p>
    <w:p>
      <w:r>
        <w:t>PLAINTE{LP}, NULLITÉ, CESSION DE CRÉANCE{LP} | 131 al. 2 LP, 18 al. 1 LP, 22 al. 1 LP</w:t>
      </w:r>
    </w:p>
    <w:p>
      <w:pPr>
        <w:pStyle w:val="Heading2"/>
      </w:pPr>
      <w:r>
        <w:t>Erwägungen</w:t>
      </w:r>
    </w:p>
    <w:p>
      <w:r>
        <w:rPr>
          <w:b/>
        </w:rPr>
        <w:t>E. 17</w:t>
      </w:r>
    </w:p>
    <w:p>
      <w:r>
        <w:t>LP; Jeandin, op. cit., p. 15). De plus, L.________SA en liquidation a un intérêt à ce que la réalisation de ses actifs s’opère de la manière la plus avantageuse pour elle et soit suspendue en application de l’art. 119 al. 2 LP dès que son produit atteint le montant des créances pour lesquelles la saisie a été ordonnée, soit 11'504 fr. 20 en capital, intérêts et frais, représentant la valeur de sa dette de dépens. Sa qualité de partie, soit de sujet de droit touché dans ses intérêts, tant à la procédure de nullité de la mesure en première instance qu’à celle de recours, comme intimée, ne peut qu’être confirmée. Les déterminations de L.________SA en liquidation sont recevables, comme les pièces produites à leur appui (art. 31 al. 1 LVLP). L'intimée a produit notamment l'arrêt de la Cour de cassation pénale du 22 avril 2009, dont il ressort que C.________, B.________ et leur conseil se sont prévalus de la convention du 6 février 2009 pour tenter de faire admettre que L.________SA en liquidation, respectivement K.________SA en qualité de cessionnaire de ses droits, aurait retiré sa plainte pénale. III. Sur le fond, on doit examiner la validité des remises à l’encaissement litigieuses et déterminer notamment si elles sont intervenues en violation d’une règle de droit impératif. a) La notion de remise à l’encaissement ressort notamment de l’extrait suivant d’un arrêt du Tribunal fédéral (TF 4A_215/2009 du 6 août 2009, c. 3.2) : " La remise à l'encaissement de l'art. 131 al. 2 LP est un mode de réalisation extraordinaire des créances saisies non cotées à la bourse ou sur un marché. Elle n'implique aucune cession de créance, conventionnelle (art. 164 CO) ou même légale au sens de l'art. 166 CO (arrêt 4C.170/2002 du 12 novembre 2002 consid. 2.1, in: SJ 2003 I p. 333). Il s'agit d'une institution sui generis du droit des poursuites et de l'exécution forcée, qui correspond à un mandat d'encaissement délivré par l'office des poursuites permettant aux poursuivants, avec l'accord préalable de tous les créanciers qui participent à la saisie de la créance du poursuivi, de faire valoir en leur propre nom, à leur compte et à leurs risques et périls ladite créance. La somme que les poursuivants obtiennent sert à couvrir en premier lieu leurs créances en poursuite et leurs frais, alors que l'excédent éventuel doit être remis à l'office des poursuites (cf. Magdalena Rutz, in Kommentar zum Bundesgesetz über Schuldbetreibung und Konkurs, 1998, n° 15 ad art. 131 LP; Kurt Amonn/Fridolin Walther, Grundriss des Schuldbetreibungs- und Konkursrechts, 8e éd, Berne 2008, § 27 ch. 57 p. 261; Carl Jäger et al., Bundesgesetz über Schuldbetreibung und Konkurs, 5e éd, Zurich 2006, n° 20 ad art. 131 LP). La remise à l'encaissement d'une créance, échue ou non échue, est autorisée par l'office des poursuites singulièrement lorsque la créance détenue par le poursuivi est contestée ou fait l'objet d'un procès pendant (ATF 109 III 102 consid. 5 in fine p. 106/107; Sébastien Bettschart, in Commentaire romand, Poursuite et faillite, Bâle 2005, n° 5 ad art. 131 LP) ou encore lorsque la solvabilité du tiers débiteur est douteuse ou l'encaissement rendu plus difficile du fait que ce dernier est domicilié à l'étranger (Amonn/Walther, op. cit., § 27, ch. 63 p. 262). Selon la jurisprudence, le mandat de recouvrement accordé à un créancier ou à un groupe de créanciers en vertu de l'art. 131 al. 2 LP, avec l'accord de tous les créanciers saisissants, est une institution qui s'apparente dans ses effets à la cession des droits de la masse de l'art. 260 LP dans la procédure de faillite (ATF 116 III 91 consid. 2b/bb p. 95; 93 III 45 consid. 1 p. 49). Cette analogie avec l'art. 260 LP soulignée par la jurisprudence a également été relevée par la doctrine moderne (Amonn/Walther, op. cit., § 27, ch. 58 ss p. 261/262; Rutz, op. cit., n° 15 ad art. 131 LP; Bettschart, op. cit., n° 19 ad art. 131 LP)." Selon un arrêt du 12 juillet 1928 (ATF 54 III 209), la saisie des prétentions que le débiteur poursuivi entend faire valoir contre le créancier poursuivant est admissible, mais le créancier ne peut alors se faire céder les droits du débiteur contre lui-même. Un créancier poursuivant ne peut donc invoquer à son profit l’art 131 al. 2 LP, mais en revanche la prétention du débiteur dirigée contre le créancier poursuivant peut être réalisée aux enchères ou cédée en mains tierces. Un arrêt du 30 mars 1983 (ATF 109 III 62, JT 1985 II 78) réaffirme cette interdiction en relevant qu’un transfert de la créance saisie en paiement au débiteur de cette créance serait au reste exclu. La doctrine moderne ne discute pas cette impossibilité. Ainsi pour Bettschart (op. cit., n. 11 ad art. 131 LP), le poursuivant qui est en même temps débiteur d’une créance saisie ne peut pas se faire remettre à l’encaissement cette créance et pour Gilliéron (op. cit., n. 37 ad art. 131 LP), lorsque le débiteur du poursuivi est l’un de ses créanciers, il ne peut, par la force des choses, requérir d’être autorisé à faire valoir la créance du poursuivi contre lui-même. Ainsi, en l'espèce, la recourante ne pouvait pas obtenir la remise à l’encaissement de la créance saisie de l'intimée contre elle (poursuite n° 2'203'388 - créance n° 5). L’opération d’encaissement, c’est-à-dire le but de la remise par attribution d’un mandat par l’office, s’avère en effet d’emblée impossible ou annihilée puisque la qualité de poursuivant et celle de débiteur se confondent (art. 118 CO – Code des obligations; RS 220 – par analogie). La recourante n’a d'ailleurs pas procédé à un encaissement, mais a informé l’office, par lettre de son conseil du 27 mars 2009, que la créance de L.________SA en liquidation qu’elle s’était fait remettre et dont elle contestait l’existence était en tout état de cause éteinte par confusion, en application de l’art. 118 CO. b) La nullité de la mesure résulte de la violation de dispositions édictées dans l’intérêt public (Erard, op. cit., nn. 4 et 22 ad art. 22 LP). L’art. 131 al. 2 LP doit en effet permettre un encaissement non seulement dans l’intérêt du créancier qui a obtenu la remise, mais également dans celui des autres créanciers et du débiteur qui profitent du surplus de réalisation. En outre, l’art. 2 CC prohibe une mesure dès lors que le but poursuivi par le créancier est totalement étranger à la poursuite, qu'il s'agisse par exemple d'un mobile vexatoire caractérisé ou d'une volonté claire d’infliger un tourment délibéré ou une atteinte au crédit, et s’avère constitutif d’un abus de droit (ATF 115 III 18, JT 1991 III 76; TF 7B.118/2005 c. 3 du 11 août 2005). En l’espèce, il ressort des conventions établies à la suite des remises et de l'utilisation notamment de l'une de ces conventions dans la procédure pénale que le but véritablement poursuivi ne résidait pas dans la réalisation des créances, mais consistait à acquérir, par le biais des remises, une maîtrise de la plainte dirigée contre B.________ et C.________, pour tenter d’éteindre cette action pénale. La nullité de la remise de la créance n° 5, constatée par le premier juge, doit ainsi être confirmée. c) Le premier juge a considéré que les remises des créances contre C.________ (n° 3) et contre B.________ (n° 4) étaient également nulles pour le même motif de confusion prohibée dans la même personne des qualités d’encaisseur et de débiteur, dès lors que la société K.________SA n’exprimait pas une volonté propre, mais uniquement celle de ses deux actionnaires. La recourante conteste cette assimilation en soulignant qu’elle n’est pas une société unipersonnelle, que son patrimoine diffère de ceux des deux actionnaires en cause et que l’existence d’un abus de droit est niée. aa) Dans un arrêt du 12 mai 2004 (TF 4C.15/2004 c. 5.2), le Tribunal fédéral a rappelé ce qui suit à propos du principe de la transparence ( Durchgriff )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(ATF 121 III 319 consid. 5a/aa p. 321 et les arrêts cités; cf. également 122 III 195 consid. 8c non publié et les arrêts cités). La société anonyme à actionnaire unique (" Einmanngesellschaft ") - notamment lorsqu'elle a pour but l'exploitation d'un immeuble, ne correspond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Cependant, la jurisprudence tient parfois compte de l'identité économique entre la société et son actionnaire lorsque, dans les rapports de la société avec des tiers, le principe de la bonne foi en affaires exige qu'il soit fait abstraction de son indépendance formelle; on évite ainsi, le cas échéant, de consacrer un abus de droit (principe de la transparence [ Durchgriff ], déduit de l'art. 2 CC – ATF 128 II 329 consid. 2.4 et les références citées; cf. également arrêt 5C.279/2002 du 14 mars 2003 consid. 2.1, reproduit in : Pra 2003 164 894; arrêt 4C.335/1999 du 25 août 2000 consid. 5c, reproduit in : SJ 2001 I 186)." bb) L'application du Durchgriff est donc admise si, premièrement, la société n’est qu’un instrument dans la main de son actionnaire, sans aucune volonté autonome et existence économique propre, et que l’actionnaire utilise les actifs de la société comme s’il s’agissait des siens propres et que, deuxièmement, l’invocation de l’indépendance de la société est constitutive d’un abus de droit ou d’une atteinte à des intérêts légitimes (Lombardini/Clementson, Commentaire romand, n. 32 ad art. 625 CO). On assimile à la Einmannaktiengesellchaft la société dominée par une seule personne, par exemple la société dirigée par des hommes de paille pour une éminence grise (Chaudet, Droit suisse des affaires, Genève 2000 p. 51-50). Dans le but d’échapper à des obligations légales ou contractuelles, l’indépendance juridique de la société peut être utilisée abusivement, notamment par les associés (Ruedin, Droit des sociétés, 2 ème éd., Berne 1997, n° 744). Il n’est donc pas décisif pour appliquer le principe de la transparence que le contrôle de la société ne soit exercé que par une seule personne physique. On peut en effet parfaitement concevoir que la société soit un instrument soumis à la volonté de deux actionnaires agissant de pair ou dont l’un serait subordonné à l’autre à l’instar d’un homme de paille. cc) En l'espèce, à l’époque des remises à l'encaissement des créances saisies, soit au mois de janvier 2009, B.________ et C.________ étaient les seuls actionnaires de la recourante dont chacun détenait la moitié des cent actions. Ils en étaient en outre tous deux administrateurs. L’identification entre la société et ses deux actionnaires ressort également de déclarations de ceux-ci, publiques ou publiées sur Internet, en relation avec le sport automobile. Enfin, on peut voir dans le texte des conventions des 6 février et 30 mars 2009, notamment de leurs clauses I stipulant qu'une somme de 10'000 fr. est offerte à K.________SA, qui l’accepte, pour le retrait de la plainte pénale et plus généralement de toute poursuite et de toute procédure civile, pénale ou administrative intentée contre B.________, respectivement C.________, l’indice que ces accords ne servaient pas les intérêts patrimoniaux de la société elle-même, créancière de dépens. dd) Selon l'art. 2 al. 2 CC, l'abus manifeste d'un droit n'est pas protégé par la loi (TF 4C.15/2004 du 12 mai 2004 précité, c. 6.1). L'existence d'un abus de droit se détermine selon les circonstances concrètes du cas, en s'inspirant des diverses catégories mises en évidence par la jurisprudence et la doctrine (ATF 129 III 493 c. 5.1, JT 2004 I 49 et réf. cit.). L'adjectif "manifeste" indique qu'il convient de se montrer restrictif dans l'admission de l'abus de droit (ATF 128 III 284, rés. in JT 2003 I 29, c. 5b non publié et réf. cit.). Les cas typiques sont l'absence d'intérêt à l'exercice d'un droit, l'utilisation d'une institution juridique contrairement à son but, la disproportion manifeste des intérêts en présence, l'exercice d'un droit sans ménagement ou l'attitude contradictoire (ATF 129 III 493 c. 5.1 précité, JT 2004 I 49 et réf. cit.;  ATF 128 III 284, rés. in JT 2003 I 29, c. 5b non publié précité et réf. cit.). En l’espèce, le mode de réalisation que constitue la remise à l’encaissement a été abusivement détourné de son but à seule fin de tenter d’éteindre les prétentions civiles et l’action pénale dirigées contre les actionnaires (cf. supra c. III b). ee) En définitive, les deux conditions dont dépend l’application du principe de la transparence sont réalisées, comme le premier juge l’a retenu à bon droit. Il en résulte que, par le relais de la société K.________SA, les créances n os 3 et 4 ont en réalité été remises à l’encaissement à leurs débiteurs, les actionnaires B.________ et C.________, ce qui rend impossible la réalisation visée par l’art. 131 al. 2 LP. La nullité de la remise à l’encaissement de ces deux créances constatée par le premier juge doit donc aussi être confirmée. IV. Le recours doit ainsi être rejeté et le prononcé confirmé. Pour la cohérence de la décision, la nullité de la remise à l’encaissement des créances n os 1 et 2, lesquelles "doublent" les créances n os 3 et 4, est également constatée. L'arrêt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