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34 vom 14. August 2009</w:t>
      </w:r>
    </w:p>
    <w:p>
      <w:r>
        <w:t>VD Tribunal cantonal, 2009-08-14, FR</w:t>
      </w:r>
    </w:p>
    <w:p>
      <w:r>
        <w:rPr>
          <w:b/>
        </w:rPr>
        <w:t xml:space="preserve">Quelle: </w:t>
      </w:r>
      <w:r>
        <w:t>https://mcp.opencaselaw.ch/entscheid/vd_findinfo_Plainte___2009___34</w:t>
      </w:r>
    </w:p>
    <w:p>
      <w:r>
        <w:t>FR: VD_FINDINFO Plainte / 2009 / 34 du 14 août 2009</w:t>
      </w:r>
    </w:p>
    <w:p>
      <w:r>
        <w:t>IT: VD_FINDINFO Plainte / 2009 / 34 del 14 agosto 2009</w:t>
      </w:r>
    </w:p>
    <w:p>
      <w:pPr>
        <w:pStyle w:val="Heading2"/>
      </w:pPr>
      <w:r>
        <w:t>Regeste</w:t>
      </w:r>
    </w:p>
    <w:p>
      <w:r>
        <w:t>PLAINTE{LP}, COMMANDEMENT DE PAYER, OPPOSITION{LP}, PREUVE FACILITÉE | 17 LP, 18 LP, 74 LP</w:t>
      </w:r>
    </w:p>
    <w:p>
      <w:pPr>
        <w:pStyle w:val="Heading2"/>
      </w:pPr>
      <w:r>
        <w:t>Erwägungen</w:t>
      </w:r>
    </w:p>
    <w:p>
      <w:r>
        <w:rPr>
          <w:b/>
        </w:rPr>
        <w:t>E. 16</w:t>
      </w:r>
    </w:p>
    <w:p>
      <w:r>
        <w:t>octobre 2008 et que cette opposition était valable, ce qui, en vertu de la jurisprudence précitée, pouvait être constaté par la voie de la plainte contre la commination de faillite consécutive. III. Le recours doit ainsi être rejeté et la décision de l'autorité inférieure de surveillance confirmée. L'arrêt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