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7 vom 6. Januar 2011</w:t>
      </w:r>
    </w:p>
    <w:p>
      <w:r>
        <w:t>VD Tribunal cantonal, 2011-01-06, FR</w:t>
      </w:r>
    </w:p>
    <w:p>
      <w:r>
        <w:rPr>
          <w:b/>
        </w:rPr>
        <w:t xml:space="preserve">Quelle: </w:t>
      </w:r>
      <w:r>
        <w:t>https://mcp.opencaselaw.ch/entscheid/vd_findinfo_Pdt-TC___2011___7</w:t>
      </w:r>
    </w:p>
    <w:p>
      <w:r>
        <w:t>FR: VD_FINDINFO Pdt-TC / 2011 / 7 du 6 janvier 2011</w:t>
      </w:r>
    </w:p>
    <w:p>
      <w:r>
        <w:t>IT: VD_FINDINFO Pdt-TC / 2011 / 7 del 6 gennaio 2011</w:t>
      </w:r>
    </w:p>
    <w:p>
      <w:pPr>
        <w:pStyle w:val="Heading2"/>
      </w:pPr>
      <w:r>
        <w:t>Regeste</w:t>
      </w:r>
    </w:p>
    <w:p>
      <w:r>
        <w:t>INDEMNITÉ{EN GÉNÉRAL}, AVOCAT D'OFFICE, ASSISTANCE JUDICIAIRE | 17a LAJ</w:t>
      </w:r>
    </w:p>
    <w:p>
      <w:pPr>
        <w:pStyle w:val="Heading2"/>
      </w:pPr>
      <w:r>
        <w:t>Erwägungen</w:t>
      </w:r>
    </w:p>
    <w:p>
      <w:r>
        <w:rPr>
          <w:b/>
        </w:rPr>
        <w:t>E. 1</w:t>
      </w:r>
    </w:p>
    <w:p>
      <w:r>
        <w:t>a) Selon l'art. 17a al. 4 de la LAJ (loi sur l'assistance judiciaire en matière civile du 24 novembre 1981, RSV 173.81), il y a recours au Tribunal cantonal contre toute décision motivée fixant les indemnités et les débours du conseil d'office. Les art. 21 et 23 à 25 du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23 al. 3 TFJC). b) Le recours doit être interjeté dans les dix jours dès la communication de la décision arrêtant les indemnités et débours du conseil d'office par déclaration écrite et signée indiquant les points sur lesquels la décision est critiquée (art. 23 al. 1 TFJC). En l'espèce, la décision motivée du 26 août 2010 a été notifiée le 27 août 2010 à la recourante. Le recours interjeté le 6 septembre 2010 l'a été en temps utile. c) Selon l'art. 25 TFJC, l'autorité de recours statue par la voie de la réforme. Elle ne modifie la décision attaquée qu'en cas d'arbitraire du premier juge, c'est-à-dire si celui-ci a abusé de son pouvoir d'appréciation. En l'espèce, le recours tend à la réforme de la décision attaquée en ce sens que l'indemnité AJ est fixée à 2'204 fr. 35 (débours et TVA compris).</w:t>
      </w:r>
    </w:p>
    <w:p>
      <w:r>
        <w:rPr>
          <w:b/>
        </w:rPr>
        <w:t>E. 2</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 9 Cst. (Constitution fédérale du 18 avril 1999; RS 101). Cette disposition impose dès lors aux cantons d'assurer à l'avocat d'office une rémunération raisonnable (ATF non publié du 9 novembre 1988, cité par Favre, op. cit., p. 139). b) L'autorité chargée de fixer l'indemnité jouit d'un large pouvoir d'appréciation et sa décision ne peut être examinée que sous l'angle de l'arbitraire (art. 25 TFJC; Pdt TC,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du 17 décembre 1990 c. 2a). c) On relève que les opérations effectuées ne représentent qu'un critère. Pour fixer la quotité de l'indemnité, l'autorité cantonale doit s'inspirer des critères applicables à la modération des honoraires d'avocat (ATF non publié du 24 avril 1997; ATF 122 I 1 c. 3a; ATF non publié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revanche, l'autorité cantonale n'a pas à trancher des questions de fond relatives, par exemple, à la manière dont l'avocat s'est acquitté de son mandat. L'examen d'une éventuelle violation des obligations découlant du mandat de l'avocat relève en principe du seul juge civil ordinaire et l'autorité doit se borner à taxer les opérations portées en compte au regard des prestations effectivement fournies par l'avocat (JT 1990 III 66, c. 2a, arrêt rendu en matière de modération). d)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JT 2008 I 116).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précité c. 8.7, pp. 217-218). A la suite de cette jurisprudence, le Tribunal cantonal vaudois a fixé le montant horaire de l'indemnité de l'avocat breveté à 180 francs. S'agissant de l'indemnité allouée à un avocat stagiaire, elle est restée fixée à 110 fr. (Pdt TC, 8 novembre 2006, n° 57/06).</w:t>
      </w:r>
    </w:p>
    <w:p>
      <w:r>
        <w:rPr>
          <w:b/>
        </w:rPr>
        <w:t>E. 3</w:t>
      </w:r>
    </w:p>
    <w:p>
      <w:r>
        <w:t>La recourante soutient que c’est arbitrairement que le premier juge a diminué de 11 heures à 8 heures, le temps qu’elle a passé sur ce dossier. On rappelle que, compte tenu du large pouvoir d’appréciation conféré au premier juge, le pouvoir d’examen de l’autorité de recours est limité à l’arbitraire (voir c. 2b ci-dessus). En l'espèce, le premier juge n’a pas motivé la réduction opérée d'heures de travail autrement qu’en relevant qu’il s’agissait d’une procédure de divorce avec accord complet, sans enfant, sans transfert LPP, sans contribution d’entretien et sans opération nécessaire à la liquidation du régime matrimonial. Il est difficile de définir abstraitement le temps passé sur un dossier de ce type, même s’il est vrai qu’il s’agit à priori d’un cas très simple. Toutefois, la requête commune en divorce et la convention sur les effets accessoires du divorce peuvent avoir nécessité un certains nombres de démarches, mêmes dans des cas de ce type. Dans le cas particulier, la cause ne présentait pas de difficultés particulières. La recourante a néanmoins dû faire le point de la situation avec sa cliente et réunir les pièces nécessaires, notamment en relation avec la LPP. En effet, bien que les époux aient renoncé au partage de leurs avoirs LPP (chiffre II de la convention), il y avait une LPP à partager. La recourante a dû intervenir à diverses reprises auprès du précédent conseil pour obtenir le dossier. La situation de l’époux posait également quelques difficultés. Il était renvoyé de Suisse et un délai de départ lui avait été fixé au 25 mai 2010. En outre, le décompte des opérations fait état de plusieurs correspondances ou entretiens téléphoniques avec le CSP (Centre social protestant), en relation visiblement avec cette situation particulière. La liste des opérations produite par Q.________ ne laisse pas apparaître des opérations qui iraient au-delà de la marge d’appréciation laissée à l’avocat et devraient être considérée comme inutiles. De même, il n’y a pas lieu de mettre en doute le temps consacré à ces diverses opérations. Dès lors, c’est arbitrairement que le premier juge a diminué sans motif précis le nombre d’heures consacrées par la recourante à ce dossier. C'est donc le nombre de 11 heures de travail qui doit être pris en compte. En outre, le premier juge n’indique pas pourquoi il a réduit de 68 fr. 20 à 65 fr. les débours allégués. Le montant de 68 fr. 20 sera ainsi alloué. Dans ces circonstances, la décision attaquée est en conséquence arbitraire et doit être réformée en ce sens que l'indemnité AJ allouée à la recourante est fixée à 2'203 fr. 90, soit 1'980 fr. d’honoraires plus 150 fr. 50 de TVA et 68 fr. 20 de débours plus 5 fr. 20 de TVA.</w:t>
      </w:r>
    </w:p>
    <w:p>
      <w:r>
        <w:rPr>
          <w:b/>
        </w:rPr>
        <w:t>E. 4</w:t>
      </w:r>
    </w:p>
    <w:p>
      <w:r>
        <w:t>En conclusion, le recours doit être admis et la décision réformée dans le sens qui précède. L’arrêt est rendu sans frais. La recourante ayant procédé sans être assistée, il n'y a pas matière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