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Pdt-TC / 2011 / 2 vom 6. Mai 2008</w:t>
      </w:r>
    </w:p>
    <w:p>
      <w:r>
        <w:t>VD Tribunal cantonal, 2008-05-06, FR</w:t>
      </w:r>
    </w:p>
    <w:p>
      <w:r>
        <w:rPr>
          <w:b/>
        </w:rPr>
        <w:t xml:space="preserve">Quelle: </w:t>
      </w:r>
      <w:r>
        <w:t>https://mcp.opencaselaw.ch/entscheid/vd_findinfo_Pdt-TC___2011___2</w:t>
      </w:r>
    </w:p>
    <w:p>
      <w:r>
        <w:t>FR: VD_FINDINFO Pdt-TC / 2011 / 2 du 6 mai 2008</w:t>
      </w:r>
    </w:p>
    <w:p>
      <w:r>
        <w:t>IT: VD_FINDINFO Pdt-TC / 2011 / 2 del 6 maggio 2008</w:t>
      </w:r>
    </w:p>
    <w:p>
      <w:pPr>
        <w:pStyle w:val="Heading2"/>
      </w:pPr>
      <w:r>
        <w:t>Regeste</w:t>
      </w:r>
    </w:p>
    <w:p>
      <w:r>
        <w:t>ASSISTANCE JUDICIAIRE, LOI CANTONALE SUR L'ASSISTANCE JUDICIAIRE, INDEMNITÉ ÉQUITABLE, HONORAIRES | 17a LAJ</w:t>
      </w:r>
    </w:p>
    <w:p>
      <w:pPr>
        <w:pStyle w:val="Heading2"/>
      </w:pPr>
      <w:r>
        <w:t>Erwägungen</w:t>
      </w:r>
    </w:p>
    <w:p>
      <w:r>
        <w:rPr>
          <w:b/>
        </w:rPr>
        <w:t>E. 1</w:t>
      </w:r>
    </w:p>
    <w:p>
      <w:r>
        <w:t>a) Depuis l'entrée en vigueur le 1 er janvier 2011 du CPC (Code de procédure civile du 19 décembre 2008; RS 272), les recours sont régis par le droit en vigueur au moment de la communication de la décision aux parties (art. 405 al. 1 CPC). En l'occurrence, la motivation de la décision attaquée a été notifiée le 14 juillet 2010 à la recourante. Sont donc applicables les dispositions en vigueur à cette date, en particulier celles contenues dans la LAJ (loi sur l'assistance judiciaire en matière civile du 24 novembre 1981; RSV 173.81) et dans le CPC-VD (Code de procédure civile du canton de Vaud du 14 décembre 1966; RSV 270.11). b) Selon l'art. 17a al. 4 LAJ, il y a recours au Tribunal cantonal contre toute décision motivée fixant les indemnités et les débours du conseil d'office. Les art. 21 et 23 à 25 TFJC (tarif des frais judiciaires en matière civile du 4 décembre 1984; RSV 270.11.5) sont applicables par analogie. Le président du Tribunal cantonal statue à huis clos sur un tel recours (art. 7 al. 1 let. d ROTC [règlement organique du Tribunal cantonal du 13 novembre 2007; RSV 173.31.1] et art. 23 al.</w:t>
      </w:r>
    </w:p>
    <w:p>
      <w:r>
        <w:rPr>
          <w:b/>
        </w:rPr>
        <w:t>E. 3</w:t>
      </w:r>
    </w:p>
    <w:p>
      <w:r>
        <w:t>al. 1 TAv). Les opérations mentionnées à l'art. 2 TAv comprennent les correspondances, conférences et autres opérations accessoires (art. 3 al. 2 TAv). D'après l'art. 2 al. 1 TAv, les minima et maxima suivants sont prévus pour les opérations qui ressortent de la liste produite par la recourante : - audience de mesures protectrices de l'union conjugale du 17 mars 2008 (ch. 32) 300 à 1'500 fr. - audience d'appel du 19 mai 2008 (ch.</w:t>
      </w:r>
    </w:p>
    <w:p>
      <w:r>
        <w:rPr>
          <w:b/>
        </w:rPr>
        <w:t>E. 7</w:t>
      </w:r>
    </w:p>
    <w:p>
      <w:r>
        <w:t>par analogie) 300 à  3'000 fr. - audience de mesures protectrices de l'union conjugale du 24 novembre 2008 (ch. 32) 300 à 1'500 fr. Totaux 900 à 6'000 fr. L'indemnité doit correspondre aux 80% de ces montants totaux, soit se situer entre les sommes de 720 et 4'800 francs. Le premier juge ayant alloué une indemnité de 3'600 fr., hors TVA, sa décision est conforme au RLAJ, ainsi qu'au TAv. 4. Il convient encore d'examiner si l'indemnité allouée n'est pas arbitraire. a) L'autorité chargée de fixer l'indemnité jouissant d'un large pouvoir d'appréciation, sa décision ne doit dès lors être examinée par l'autorité de recours que sous l'angle de l'arbitraire (art. 25 TFJC; Pdt TC, 4 mars 2003, n. 7/03). Une décision est arbitraire lorsque l'autorité a abusé du pouvoir d'appréciation qui lui est accordé, ou si elle l'a excédé; tel est le cas lorsque la décision repose sur une appréciation insoutenable des circonstances, qu'elle est inconciliable avec les règles du droit et de l'équité, qu'elle omet de tenir compte de tous les éléments de fait propres à fonder la décision ou encore lorsqu'elle prend au contraire en considération des circonstances qui ne sont pas pertinentes (ATF 109 la 107 c. 2c; arrêt du TF non publié B. du 17 décembre 1990 précité, c. 2a). A cet égard, il convient de relever que les opérations effectuées ne représentent qu'un critère. En effet, l'indemnité à laquelle peut prétendre l'avocat d'office s'apparente aux honoraires reçus par le mandataire plaidant aux frais de son client. L'autorité cantonale doit donc s'inspirer, pour fixer la quotité de l'indemnité, des critères applicables à la modération des honoraires d'avocat (arrêt du TF non publié B. du 24 avril 1997; ATF 122 I 1 c. 3a; arrêt du TF non publié C. du 9 novembre 1988 précité). Il faut tenir compte de la nature et de l'importance de la cause, des difficultés spéciales qu'elle peut présenter en fait et en droit, du temps que le défenseur lui a consacré, de la qualité de son travail, du nombre de conférences, audiences et instances auxquelles il a pris part, du résultat obtenu et de la responsabilité qu'il a assumée (ATF 109 la 107 précité c. 3b; 117 la 22 précité c. 3a).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précité c. 3a; 117 Ia 22 précité c. 4c et les références citées). Cependant, le temps consacré à la défense du client et les actes effectués ne peuvent être pris en considération que dans la mesure où ils s'inscrivent raisonnablement dans le cadre de l'accomplissement de la tâche du conseil d'office, à l'exclusion des démarches inutiles ou superflues. L'avocat doit cependant bénéficier d'une marge d'appréciation suffisante pour déterminer l'importance du travail qu'il doit consacrer à l'affaire (ATF 109 Ia 107 précité c. 3b; 118 Ia 133 c. 2d). b) En l'espèce, la recourante a été désignée conseil d'office de l'intimée en 2008 dans une procédure de mesures protectrices de l'union conjugale classique. La recourante a assisté sa cliente à deux audiences de mesures protectrices de l'union conjugale de cinquante minutes chacune et à une audience d'appel sur mesures protectrices de l'union conjugale d'une heure et trente-cinq minutes. Pour le surplus, la liste des opérations de la recourante mentionne trois conférences, trente-six correspondances et vingt entretiens téléphoniques. En admettant 20 heures pour ces diverses opérations, le premier juge s'est montré relativement sévère. On ne saurait toutefois considérer qu'il est tombé dans l'arbitraire au sens défini au c. 4a ci-dessus. c) Le conseil d'office est en droit d'exiger une rétribution minimale qui doit pour le moins couvrir ses frais généraux et lui apporter une rémunération qui ne soit pas symbolique (ATF 132 I 201 c. 8, spéc. c. 8.5 et 8.6). Dans ces circonstances, le Tribunal fédéral a retenu que l'indemnité d'office d'un avocat conforme à cette exigence était actuellement de l'ordre de 180 fr. de l'heure, TVA en sus, sous réserve des différences cantonales inférieures et supérieures pouvant se justifier (ATF 132 I 201, c. 8.7). A la suite de cette jurisprudence, le Tribunal cantonal vaudois a fixé le montant horaire de l'indemnité de l'avocat breveté à 180 francs. En l'espèce, compte tenu de la jurisprudence ci-dessus, le tarif horaire de 180 fr. appliqué par le premier juge, qui tient compte de frais généraux d'une étude d'avocat, ne prête pas le flanc à la critique. d) Le conseil d'office a droit au remboursement intégral de ses débours (ATF 117 Ia 22 précité c. 4b-e; 109 Ia 107 précité c. 3d). Au regard du nombre d'opérations occasionnées par la cause, le montant de 190 fr. alloué en l'occurrence par le premier juge ne saurait être considéré comme arbitraire. 5. Cela étant, le recours doit être rejeté et la décision attaquée confirmée. Les frais de deuxième instance de la recourante sont arrêtés à 100 francs (art. 251 TFJC).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