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18 vom 26. April 2011</w:t>
      </w:r>
    </w:p>
    <w:p>
      <w:r>
        <w:t>VD Tribunal cantonal, 2011-04-26, FR</w:t>
      </w:r>
    </w:p>
    <w:p>
      <w:r>
        <w:rPr>
          <w:b/>
        </w:rPr>
        <w:t xml:space="preserve">Quelle: </w:t>
      </w:r>
      <w:r>
        <w:t>https://mcp.opencaselaw.ch/entscheid/vd_findinfo_Pdt-TC___2011___18</w:t>
      </w:r>
    </w:p>
    <w:p>
      <w:r>
        <w:t>FR: VD_FINDINFO Pdt-TC / 2011 / 18 du 26 avril 2011</w:t>
      </w:r>
    </w:p>
    <w:p>
      <w:r>
        <w:t>IT: VD_FINDINFO Pdt-TC / 2011 / 18 del 26 aprile 2011</w:t>
      </w:r>
    </w:p>
    <w:p>
      <w:pPr>
        <w:pStyle w:val="Heading2"/>
      </w:pPr>
      <w:r>
        <w:t>Regeste</w:t>
      </w:r>
    </w:p>
    <w:p>
      <w:r>
        <w:t>ASSISTANCE JUDICIAIRE | 17a LAJ</w:t>
      </w:r>
    </w:p>
    <w:p>
      <w:pPr>
        <w:pStyle w:val="Heading2"/>
      </w:pPr>
      <w:r>
        <w:t>Erwägungen</w:t>
      </w:r>
    </w:p>
    <w:p>
      <w:r>
        <w:rPr>
          <w:b/>
        </w:rPr>
        <w:t>E. 1</w:t>
      </w:r>
    </w:p>
    <w:p>
      <w:r>
        <w:t>a) Selon l'art. 17a al. 4 de la LAJ (loi sur l'assistance judiciaire en matière civile du 24 novembre 1981, RSV 173.81), il y a recours au Tribunal cantonal contre toute décision motivée fixant les indemnités et les débours du conseil d'office. Les art. 21 et 23 à 25 du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23 al. 3 TFJC). b) Le recours doit être interjeté dans les dix jours dès la communication de la décision arrêtant les indemnités et débours du conseil d'office par déclaration écrite et signée indiquant les points sur lesquels la décision est critiquée (art. 23 al. 1 TFJC). En l'espèce, le prononcé motivé rendu le 9 mars 2011 a été notifié le 10 mars 2011à la recourante. Le recours interjeté le 17 mars 2011 l'a été en temps utile. c) Selon l'art. 25 TFJC, l'autorité de recours statue par la voie de la réforme. Elle ne modifie la décision attaquée qu'en cas d'arbitraire du premier juge, c'est-à-dire si celui-ci a abusé de son pouvoir d'appréciation. En l'espèce, le recours tend à la réforme de la décision attaquée en ce sens que l'indemnité AJ est fixée à 945 fr. (TVA à 7,6% non comprise) et 50 fr. de débours.</w:t>
      </w:r>
    </w:p>
    <w:p>
      <w:r>
        <w:rPr>
          <w:b/>
        </w:rPr>
        <w:t>E. 2</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 9 Cst. (Constitution fédérale du 18 avril 1999; RS 101). Cette disposition impose dès lors aux cantons d'assurer à l'avocat d'office une rémunération raisonnable (ATF non publié du 9 novembre 1988, cité par Favre, op. cit., p. 139). b) L'autorité chargée de fixer l'indemnité jouit d'un large pouvoir d'appréciation et sa décision ne peut être examinée que sous l'angle de l'arbitraire (art. 25 TFJC; Pdt TC,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du 17 décembre 1990 c. 2a). c) On relève que les opérations effectuées ne représentent qu'un critère. Pour fixer la quotité de l'indemnité, l'autorité cantonale doit s'inspirer des critères applicables à la modération des honoraires d'avocat (ATF non publié du 24 avril 1997; ATF 122 I 1 c. 3a; ATF non publié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revanche, l'autorité cantonale n'a pas à trancher des questions de fond relatives, par exemple, à la manière dont l'avocat s'est acquitté de son mandat. L'examen d'une éventuelle violation des obligations découlant du mandat de l'avocat relève en principe du seul juge civil ordinaire et l'autorité doit se borner à taxer les opérations portées en compte au regard des prestations effectivement fournies par l'avocat (JT 1990 III 66, c. 2a, arrêt rendu en matière de modération). d)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JT 2008 I 116).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précité c. 8.7, pp. 217-218). A la suite de cette jurisprudence, le Tribunal cantonal vaudois a fixé le montant horaire de l'indemnité de l'avocat breveté à 180 francs.</w:t>
      </w:r>
    </w:p>
    <w:p>
      <w:r>
        <w:rPr>
          <w:b/>
        </w:rPr>
        <w:t>E. 3</w:t>
      </w:r>
    </w:p>
    <w:p>
      <w:r>
        <w:t>La recourante soutient que c'est arbitrairement que le premier juge a diminué de 5 heures 15 à 3 heures le temps qu'elle a passé sur ce dossier. On rappelle que, compte tenu du large pouvoir d'appréciation conféré au premier juge, l'autorité de recours n'examine la décision que sous l'angle de l'arbitraire (voir c. 2b ci-dessus) . En l'espèce, le premier juge a réduit de manière proportionnellement considérable le temps que la recourante allègue avoir consacré à ce mandat, le réduisant de 5 heures 15 à 3 heures. Il n'a pas donné de motif particulier à cette réduction. La recourante invoque avoir consacré 1 heure 30 à la rédaction de son mémoire et 2 heures à la rédaction du mémoire responsif. Aucun élément ne permet de mettre en doute cette affirmation. Il restait donc selon le décompte produit 1 heure 45 pour la prise de connaissance du jugement, la rédaction de 13 lettres, mails et fax, dont certains, d'explications au client, ainsi que la rédaction de la déclaration de recours. Ce temps ne semble pas non plus exagéré. Le premier juge a ainsi arbitrairement diminué le temps allégué par la recourante et le recours doit être admis sur ce point. La recourante reproche encore au premier juge d'avoir diminué le forfait pour les débours, de 50 fr. à 30 francs. Par définition le forfait ne permet pas d'aboutir au montant réel des débours. Parfois, l'avocat d'office est perdant et parfois, il est gagnant. Le forfait doit toutefois être corrigé quand il se révèle manifestement inéquitable. En l'espèce tel n'est pas le cas et le premier juge n'avait pas de raison particulière de s'écarter du forfait. Dans ces circonstances, la décision attaquée est en conséquence arbitraire et doit être réformée en ce sens que l'indemnité AJ allouée à la recourante est fixée à 1'070 fr. 60, soit 945 fr. d'honoraires plus 71 fr. 80 de TVA et 50 fr. de débours plus 3 fr. 80 de TVA.</w:t>
      </w:r>
    </w:p>
    <w:p>
      <w:r>
        <w:rPr>
          <w:b/>
        </w:rPr>
        <w:t>E. 4</w:t>
      </w:r>
    </w:p>
    <w:p>
      <w:r>
        <w:t>En conclusion, le recours doit être admis et la décision réformée dans le sens qui précède. L'arrêt est rendu sans frais. La recourante ayant procédé sans être assistée, il n'y a pas matière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