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Pdt-TC / 2009 / 11 vom 4. August 2009</w:t>
      </w:r>
    </w:p>
    <w:p>
      <w:r>
        <w:t>VD Tribunal cantonal, 2009-08-04, FR</w:t>
      </w:r>
    </w:p>
    <w:p>
      <w:r>
        <w:rPr>
          <w:b/>
        </w:rPr>
        <w:t xml:space="preserve">Quelle: </w:t>
      </w:r>
      <w:r>
        <w:t>https://mcp.opencaselaw.ch/entscheid/vd_findinfo_Pdt-TC___2009___11</w:t>
      </w:r>
    </w:p>
    <w:p>
      <w:r>
        <w:t>FR: VD_FINDINFO Pdt-TC / 2009 / 11 du 4 août 2009</w:t>
      </w:r>
    </w:p>
    <w:p>
      <w:r>
        <w:t>IT: VD_FINDINFO Pdt-TC / 2009 / 11 del 4 agosto 2009</w:t>
      </w:r>
    </w:p>
    <w:p>
      <w:pPr>
        <w:pStyle w:val="Heading2"/>
      </w:pPr>
      <w:r>
        <w:t>Regeste</w:t>
      </w:r>
    </w:p>
    <w:p>
      <w:r>
        <w:t>ASSISTANCE JUDICIAIRE, INDEMNITÉ{EN GÉNÉRAL}, HONORAIRES, AVOCAT D'OFFICE | 17a LAJ, 23 TFJC, 25 TFJC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Selon l'art. 17a al.</w:t>
      </w:r>
    </w:p>
    <w:p>
      <w:r>
        <w:rPr>
          <w:b/>
        </w:rPr>
        <w:t>E. 4</w:t>
      </w:r>
    </w:p>
    <w:p>
      <w:r>
        <w:t>En conclusion, le recours doit être partiellement admis et la décision attaquée réformée dans le sens précité. Le recours étant partiellement admis, l'arrêt sera rendu sans frais (art. 226 TFJC).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