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5/21 - 17/2023 vom 24. April 2023</w:t>
      </w:r>
    </w:p>
    <w:p>
      <w:r>
        <w:t>VD Tribunal cantonal, 2023-04-24, FR</w:t>
      </w:r>
    </w:p>
    <w:p>
      <w:r>
        <w:rPr>
          <w:b/>
        </w:rPr>
        <w:t xml:space="preserve">Quelle: </w:t>
      </w:r>
      <w:r>
        <w:t>https://mcp.opencaselaw.ch/entscheid/vd_findinfo_PP_5_21_-_17_2023___________</w:t>
      </w:r>
    </w:p>
    <w:p>
      <w:r>
        <w:t>FR: VD_FINDINFO PP 5/21 - 17/2023 du 24 avril 2023</w:t>
      </w:r>
    </w:p>
    <w:p>
      <w:r>
        <w:t>IT: VD_FINDINFO PP 5/21 - 17/2023 del 24 aprile 2023</w:t>
      </w:r>
    </w:p>
    <w:p>
      <w:pPr>
        <w:pStyle w:val="Heading2"/>
      </w:pPr>
      <w:r>
        <w:t>Regeste</w:t>
      </w:r>
    </w:p>
    <w:p>
      <w:r>
        <w:t>PRÉVOYANCE PROFESSIONNELLE, ACTION EN CONSTATATION, DROIT D'ÊTRE ENTENDU, VERSEMENT ANTICIPÉ | 29 al. 2 Cst., 30c LPP, 73 al. 1 LPP</w:t>
      </w:r>
    </w:p>
    <w:p>
      <w:pPr>
        <w:pStyle w:val="Heading2"/>
      </w:pPr>
      <w:r>
        <w:t>Erwägungen</w:t>
      </w:r>
    </w:p>
    <w:p>
      <w:r>
        <w:rPr>
          <w:b/>
        </w:rPr>
        <w:t>E. 24</w:t>
      </w:r>
    </w:p>
    <w:p>
      <w:r>
        <w:t>avril 2023 __________________ Composition :              Mme PASCHE, présidente Mme Brélaz Braillard et M. Piguet, juges Greffier : M.              Genilloud ***** Cause pendante entre : A.M.________ , au [...], demandeur, représenté par Me Jean-Michel Duc, avocat à Lausanne, et Q.________ , à [...], défenderesse, représentée par Me Guy Longchamp, avocat à Assens. _______________ Art.</w:t>
      </w:r>
    </w:p>
    <w:p>
      <w:r>
        <w:rPr>
          <w:b/>
        </w:rPr>
        <w:t>E. 29</w:t>
      </w:r>
    </w:p>
    <w:p>
      <w:r>
        <w:t>janvier 2020, la notaire L.________ a signé une déclaration de renonciation à la prescription en faveur de Q.________. Le 14 février 2020, les époux M.________ ont signé une cession de créance de la somme de 83'500 fr. en faveur de Q.________, à la teneur suivante (sic) : « Je soussigné, A.M.________, [...], né le [...], domicilié à [...], à [...], déclare avoir, dans le cadre de l’acquisition de la propriété de l’immeuble No [...] de la commune d’[...], une créance de CHF 83'500.00 à l’encontre de Maître L.________, notaire. Une somme de CHF 83'500.00 prélevée sur ma prévoyance professionnelle a été versée sur le compte de dépôt du notaire en vue de cette acquisition. Cette créance représente le solde devant être à ce jour restitué à ma Caisse de pension. Il résulte de la non-concrétisation de l’acquisition de l’immeuble susmentionné, respectivement de la non-inscription du transfert de propriété au Registre foncier Je cède cette créance à la Caisse de pension Q.________, [...], à [...]. La présente vaut cession de créance au sens des articles 164 et suivants du Code des obligations (CO). » Le 28 mai 2020, Q.________ a fait savoir à Me L.________ qu’elle allait agir par voie de poursuites pour obtenir le remboursement du montant de 83'500 francs. Elle a en outre informé la notaire de ce que les époux M.________ avaient signé une cession de créance en sa faveur, ce qui démontrait que A.M.________ ne souhaitait pas investir dans un nouveau projet immobilier, l’art. 30d al. 4 LPP ne s’appliquant dès lors pas. Q.________ a fait notifier à Me L.________ un commandement de payer portant sur le montant de 83'500 fr., auquel elle a formé opposition totale le 19 juin 2020. Le 9 juillet 2020, Q.________ a écrit à A.M.________ pour lui faire savoir qu’elle avait entrepris, à bien plaire et sans y être obligée, de nombreuses démarches. Elle informait son assuré qu’elle se limiterait à l’avenir strictement à ses obligations et mettait un terme au soutien qu’elle lui avait apporté gratuitement jusqu’ici. Elle invitait son assuré à l’informer le moment venu de l’issue de ses démarches contre les promoteurs/vendeurs devant les tribunaux […], afin qu’elle puisse savoir si et dans quelle mesure le montant de 83'500 fr. pourrait être remboursé ou si le logement litigieux lui serait finalement transféré en copropriété avec son épouse. Le 13 juillet 2020, A.M.________ et son épouse ont écrit au directeur général de Q.________, et demandé notamment la restitution immédiate du versement anticipé de 112'200 fr. sur le compte de prévoyance professionnelle de A.M.________. Par courrier du 7 septembre 2020 à Q.________, A.M.________ s’est plaint de ce qu’elle entendait interrompre les démarches visant à la restitution du montant de 83'500 francs. Il a également demandé que l’entier de son dossier soit mis à sa disposition, le 14 septembre 2020. Désormais représenté par Me Jean-Michel Duc, A.M.________ a écrit à Q.________ le 9 octobre 2020, en expliquant qu’à la différence du cas ayant donné lieu à l’ATF 138 V 495, il s’agissait de savoir qui devait entreprendre les démarches de remboursement du montant de 83'500 francs. A cet égard, il a relevé que Q.________ était clairement impliquée dans la problématique du remboursement, vu les engagements de la notaire pris directement et exclusivement envers elle, et non envers A.M.________. Il lui proposait dès lors soit de faire exécuter elle-même l’engagement de la notaire, soit le paiement de 83'500 fr., soit de le mandater à cet effet. Le 3 décembre 2020, Q.________, désormais représentée par Me Guy Longchamp, a une nouvelle fois écrit à la notaire L.________ pour lui faire savoir que rien ne l’autorisait à conserver la somme de 83'500 fr., les époux M.________ ayant renoncé à l’acquisition de la propriété du logement litigieux, et le délai de deux ans qu’elle évoquait étant échu. Elle la priait dès lors de verser la somme de 83'500 fr. plus intérêts à 5 % à compter du 28 novembre 2019. Par courrier de son avocat du 11 décembre 2020 à Q.________, Me L.________ a indiqué que le montant en question avait été versé au vendeur conformément au contrat de vente du 13 novembre 2018, et ne pas comprendre dès lors pourquoi elle devrait verser ce montant à [...]. Le 15 février 2021, l’avocat de Q.________ a fait savoir à Me Duc qu’il avait rencontré la notaire L.________, laquelle estimait que A.M.________ ne saurait prétendre au remboursement de la somme de 83'500 fr. alors que le litige qui l’opposait aux vendeurs était à sa connaissance toujours ouvert dans le canton de [...].Q.________ a rappelé qu’elle avait déjà fourni des efforts extrêmement importants en faveur de son assuré, alors que sous l’angle légal, rien ne la contraignait à le faire, et alors qu’elle n’avait rien à se reprocher dans ce dossier. Q.________ a joint à son envoi le dossier de son assuré. B. Par demande du 25 février 2021, A.M.________, représenté par Me Jean-Michel Duc, a ouvert action contre la Q.________, en concluant à ce qu’il plaise à la Cour des assurances sociales du Tribunal cantonal du canton de Vaud dire et statuer : « 1) La demande est admise ; 2) La violation du droit d’être entendu est constatée et il en est tenu compte dans la fixation des dépens ; 3) L’avoir de prévoyance de Monsieur A.M.________ auprès de la Q.________ est augmenté de la somme de CHF 83'500.- avec intérêts à 5%. 4) Le tout avec suite de dépens. » A l’appui de ses conclusions, il a exposé en substance que son avoir de prévoyance devait être augmenté de 83'500 fr. avec intérêts, vu l’engagement de la notaire L.________ envers la défenderesse et le mandat concrétisé par la cession de créance de février 2020. Il s’est également plaint d’une violation de son droit d’être entendu, au motif que malgré plusieurs demandes, la défenderesse n’avait toujours pas produit les pièces qu’il demandait, et dont il requérait la production (à savoir son dossier LPP, comprenant la copie de tous les statuts et règlement de prévoyance depuis le 1 er janvier 2018, des comptes techniques et comptes témoins, des certificats de prévoyance depuis le 1 er janvier 2018, ainsi que de tous les courriers et courriels échangés). Le demandeur n’a produit aucune pièce à l’appui de sa demande. Il a requis la production de son dossier LPP, notamment les pièces susmentionnées. Le 2 mars 2021, la juge en charge de l’instruction du dossier a réservé la compétence de la Cour des assurances sociales du Tribunal cantonal vaudois pour connaître de la demande, ainsi que sa recevabilité. Elle a en outre imparti au demandeur un délai pour produire toutes les pièces dont il se prévalait (toutes les pièces relatives à l’opération de vente, à savoir, notamment, tous les courriers de la notaire, l’acte de vente, tout document de nature à exposer pourquoi la vente « n’a pas pu se réaliser », l’acte de cession, ainsi que toutes les correspondances intervenues avec la défenderesse), la demande étant en l’état insuffisamment motivée. Son devoir de collaborer à l’établissement des faits lui a par ailleurs été rappelé. Le 9 mars 2021, le demandeur a adressé une nouvelle écriture à la Cour des assurances sociales, dans laquelle il s’est déterminé sur sa compétence. Il a par ailleurs allégué avoir produit toutes les pièces de son dossier, jointes sans désignation ni bordereau à son envoi. Dans sa réponse du 14 juillet 2021, la défenderesse, toujours représentée par Me Guy Longchamp, a conclu à l’irrecevabilité de la demande à la forme. Au fond, elle a conclu principalement à son rejet, et subsidiairement à la suspension de la procédure jusqu’à droit connu sur la procédure pendante par-devant les tribunaux [...] relative au contrat de vente de l’immeuble n° [...] de la commune d’[...]. Elle a exposé que des litiges étaient survenus entre les vendeurs et les acheteurs après le versement du montant de 83'500 fr., et qu’à ce jour, le demandeur et son épouse n’étaient toujours pas propriétaires dudit immeuble. Ils avaient introduit une procédure à l’encontre des vendeurs par-devant les tribunaux [...]. La défenderesse a encore noté que le demandeur et son épouse lui avaient cédé leur créance de 83'500 fr., et qu’elle n’avait aucune obligation d’agir pour le compte du demandeur. Elle avait toutefois préservé ses droits en faisant signer à Me L.________ une renonciation à invoquer la prescription, vu la cession de la créance de 83'500 francs. La défenderesse a déposé un onglet de pièces sous bordereau, et requis la production du dossier complet de la procédure pendante devant les tribunaux [...] opposant les demandeurs aux vendeurs de l’immeuble n° [...] de la commune d’[...]. En réplique, le 12 août 2021, le demandeur s’est plaint du contenu « très sommaire et lacunaire » de la réponse de la défenderesse, déplorant qu’elle n’ait pas produit son dossier complet, et estimant derechef qu’elle violait son droit d’être entendu. En duplique, le 9 novembre 2021, la défenderesse a confirmé ses conclusions, et a renouvelé sa réquisition tendant à ce que le demandeur produise le dossier l’opposant aux vendeurs de l’immeuble n° [...] de la commune d’[...]. Elle a produit un onglet de pièces sous bordereau comprenant en particulier un courrier de son conseil du 15 février 2021 au conseil du demandeur, selon lequel elle lui faisait parvenir son dossier complet par voie électronique, les certificats de prévoyance du demandeur dès le 1 er janvier 2018, et son règlement de prévoyance (édition du 1 er janvier 2017). Le 19 novembre 2021, le demandeur a confirmé ses conclusions. Il a une nouvelle fois requis la production de son dossier complet, comprenant les notes internes et les échanges intervenus avec J.________. Il a également requis la production du compte technique et du compte témoin, documents qu’il estimait nécessaires pour pouvoir s’assurer qu’année après année, le compte de libre passage LPP a été correctement constitué au regard de la loi et du règlement. Par déterminations du 7 mars 2022, la défenderesse a maintenu intégralement ses conclusions. Elle a produit un document relatif à l’évolution de l’avoir de vieillesse du demandeur pour la période du 1 er septembre 2015 au 30 novembre 2021, ainsi que l’évolution de son avoir, sur la même période, selon « LPP-Min ».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Selon la jurisprudence,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128 V 254 consid. 2a et les références ; MEYER/UTTINGER, in Commentaire LPP et LFLP, 2010, n° 23 ad art. 73 LPP).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a été formée devant le tribunal compétent à raison du lieu, vu le siège vaudois de la défenderesse. Les conclusions du demandeur tendent en l’occurrence uniquement à ce que la Cour constate le montant de son avoir de prévoyance à la date du dépôt de la demande, singulièrement à ce qu’elle examine si le montant de son avoir de prévoyance doit inclure un montant de 83'500 fr. correspondant au versement anticipé auquel a procédé la défenderesse. Les conclusions du demandeur sont donc des conclusions en constatation. Or, pour que la recevabilité d’une action en constatation de droit puisse être admise, il faut que le demandeur puisse établir l’existence d’un intérêt à la constatation. En effet, selon la jurisprudence (de droit privé) du Tribunal fédéral, c’est le droit fédéral qui régit les conditions dans lesquelles il est possible de demander au juge la constatation de l’existence ou de l’inexistence d’un droit relevant de la législation fédérale. L’action en constatation de droit est ouverte si la partie demanderesse a un intérêt important et digne de protection à la constatation immédiate de la situation de droit ; il n’est pas nécessaire que cet intérêt soit de nature juridique, il peut s’agit d’un intérêt de pur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formatrice (ATF 135 III 378 consid. 2.2 et les références). La jurisprudence du Tribunal fédéral en matière d’assurances sociales, notamment s’agissant des litiges de prévoyance professionnelle, prévoit des conditions analogues, à propos de l’intérêt juridique dont doit pouvoir se prévaloir celui qui demande que soit prononcée une décision en constatation (ATF 128 V 41 consid. 3a ; 117 V 318 consid. 1b ; TFA 7/04 du 15 juin 2004 consid. 6.1). En l’occurrence, on peut sérieusement se demander si le demandeur dispose d’un intérêt à la constatation. Le cas échéant, l’existence d’un intérêt important et digne de protection à l’examen du montant de l’avoir de prévoyance pourrait, éventuellement, être admise, dans la mesure où la réponse à cette question est susceptible d’avoir une influence quant au montant des prestations de vieillesse de la prévoyance professionnelle auxquelles le demandeur pourra éventuellement prétendre, respectivement quant aux modalités de son départ à la retraite. 2. Dans un grief de nature formelle qu’il convient d’examiner en premier lieu, le demandeur se plaint d’une violation de son droit d’être entendu, au motif que la défenderesse, malgré plusieurs demandes, n’aurait pas produit les pièces demandées. a) Le droit de consulter le dossier est un aspect du droit d'être entendu garanti par l'art. 29 al. 2 Cst. (Constitution fédérale de la Confédération suisse du 18 avril 1999 ; RS 101). Il est notamment concrétisé à l'art. 85b al. 1 let. a LPP, selon lequel a le droit de consulter le dossier, dans la mesure où les intérêts privés prépondérants sont sauvegardés, l’assuré,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b) Le demandeur a eu accès aux pièces de son dossier. Il a régulièrement reçu des copies des courriers adressés, par exemple, à la notaire L.________ par la défenderesse. Il a au demeurant reçu une copie de son dossier par voie électronique le 15 février 2021. Pour le surplus, la défenderesse a produit dans la présente procédure tous les moyens de preuve requis par le demandeur (statuts et règlement de prévoyance, certificats de prévoyance depuis le 1 er janvier 2018 ainsi que courriers et courriels échangés entre les parties). S’agissant de la requête tendant à la production du compte technique et du compte témoin, la défenderesse a produit le 7 mars 2022 un tableau retraçant l’évolution de son avoir de vieillesse pour la période du 1 er septembre 2015 au 30 novembre 2021, ainsi que l’évolution de son avoir, sur la même période, selon « LPP-Min » (cf. pièces 112 et 113 de la défenderesse). Le demandeur n’a pas réagi à cet envoi. Il n’amène pour le surplus aucun élément de nature à remettre en cause le fait qu’année après année, son compte de libre passage LPP n’aurait pas été correctement constitué au regard de la loi et du règlement. En particulier, il ne ressort pas des pièces au dossier que le demandeur aurait contesté la teneur des certificats de prévoyance qui lui ont été régulièrement adressés. Le demandeur n’avait enfin pas à avoir accès aux notes internes de la défenderesse, conformément à la jurisprudence rappelée ci-dessus, pas plus qu’aux échanges intervenus avec J.________, les éléments liés au contrat d’assurance entre l’institution de prévoyance et l’assureur au sens des art. 67ss LPP ne le concernant pas. La défenderesse a enfin indiqué qu’il n’y avait pas eu d’avis de droit, ce dont il y a lieu de prendre acte. Le grief de violation du droit d’être entendu du demandeur doit dès lors être écarté. 3. a) Sur le fond, le principe de base qui détermine l’issue du présent litige est que l’avoir de prévoyance ne peut intégrer un montant versé à titre de versement anticipé pour l’acquisition d’un logement aussi longtemps que celui-ci n’a pas été remboursé concrètement à l’institution de prévoyance (étant précisé que le remboursement peut se faire selon n’importe quelle forme ; cf. art. 30d LPP). b) Selon l’art. 30c al. 1 LPP, l’assuré peut, au plus tard trois ans avant la naissance du droit aux prestations de vieillesse, faire valoir auprès de son institution de prévoyance le droit au versement d’un montant pour la propriété d’un logement pour ses propres besoins. A teneur de l’art. 30c al. 2 LPP,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Les art. 331d à 331f CO traitent également de l’encouragement à la propriété du logement. L’art. 331e al. 1 CO reprend dans une large mesure la teneur de l’art. 30c al. 1 LPP, et dispose que le travailleur peut, au plus tard trois ans avant la naissance du droit aux prestations de vieillesse, faire valoir auprès de son institution de prévoyance le droit au versement d’un montant pour la propriété d’un logement pour ses propres besoins. Quant à l’art. 331e al. 2 CO, qui reprend largement l’art. 30c al. 2 LPP, il indique que les travailleurs peuvent obtenir, jusqu’à l’âge de 50 ans, un montant jusqu’à concurrence de leur prestation de libre passage. Les travailleurs âgés de plus de 50 ans peuvent obtenir au maximum la prestation de libre passage à laquelle ils avaient droit à l’âge de 50 ans ou la moitié de la prestation de libre passage à laquelle ils ont droit au moment du versement. c) Les art. 30c LPP et 331e CO ne précisent pas ce que l'institution de prévoyance doit examiner en cas de demande de versement anticipé. Selon l'art. 6 al. 1 OEPL, l’institution de prévoyance paie le montant du versement anticipé au plus tard six mois après que la personne assurée a fait valoir son droit. Conformément à l'al. 2, elle paie le montant du versement anticipé, après production des pièces justificatives idoines et avec l’accord de la personne assurée, directement au vendeur, à l’entrepreneur, au prêteur ou aux bénéficiaires selon l’art. 1 al. 1 let. b OEPL. L’art. 10 OEPL dispose que lorsque la personne assurée fait valoir son droit au versement anticipé ou à la mise en gage, elle doit fournir à l’institution de prévoyance la preuve que les conditions de leur réalisation sont remplies. Selon le libellé clair de cette disposition, il s'agit des conditions applicables au versement anticipé ou à la mise en gage, c'est-à-dire celles qui découlent de la loi (notamment l'art. 30c al. 5 LPP et l'art. 331e al. 5 CO) et celles qui sont mentionnées aux art. 1 à 9 OEPL (ATF 135 V 425 consid. 6.6.2). Ni l'art. 30c LPP ni l'art. 6 OEPL ne prévoient d'obligation de vérification expresse, dans le sens où le transfert de propriété doit être prouvé lors du versement. Selon l'art. 30e LPP, l'assuré ou ses héritiers ne peuvent vendre le logement en propriété que sous réserve de l'art. 30d LPP.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(al. 1). Cette restriction du droit d’aliéner au sens de l’al. 1 doit être mentionnée au registre foncier. L’institution de prévoyance est tenue d’en requérir la mention au registre foncier lors du versement anticipé ou lors de la réalisation du gage grevant l’avoir de prévoyance (al. 2). Contrairement à l'art. 30c LPP et à l'art. 6 OEPL, l'art. 30e LPP ne régit pas le versement, qui fait partie intégrante du contrat de vente, c'est-à-dire de l'acte d'engagement. Conformément à son titre "Garantie du but de la prévoyance", l'art. 30e al. 2 LPP vise plutôt à garantir qu'une personne assurée ne détourne pas son capital de prévoyance, qu'elle a retiré par anticipation pour l'acquisition d'un logement, de l'objectif de prévoyance en aliénant le logement et en l'utilisant à des fins de consommation. Le versement anticipé du 2 e pilier doit rester dans le circuit de la prévoyance (message du 19 août 1992 sur l'encouragement à la propriété du logement au moyen de la prévoyance professionnelle, FF 1992 VI 250, ch. 133.3, deuxième alinéa). L'art. 30e al. 2 LPP ne constitue pas une limitation de l'acte d'engagement obligatoire, mais une limitation du pouvoir de disposition. Le fait que ce n'est pas la conclusion du contrat qui est limitée, mais la disposition réelle, résulte avant tout de l'art. 30e al. 3 let. d LPP, selon lequel la mention peut être radiée lorsqu’il est établi que le montant investi dans la propriété du logement a été transféré selon l’art. 30d LPP à l’institution de prévoyance de l’assuré ou à une institution de libre passage. d) Le fait de donner des renseignements inexacts peut engager la responsabilité d'une institution de prévoyance en application du principe de la protection de la bonne foi (ATF 136 V 331 consid. 4.2.1 ; TF 9C_132/2019 du 3 juillet 2019 consid. 6.3 et les références ; voir aussi ATF 131 II 627 consid. 6.1). 4. En l’occurrence, c’est en l’absence de toute faute que l’institution de prévoyance a libéré le montant litigieux. Il n’est en effet pas contesté que le demandeur remplissait les conditions d'octroi d'un versement anticipé pour l'acquisition d'un logement pour ses propres besoins. Il a donné son accord au versement anticipé le 31 octobre 2018, en indiquant le montant désiré, le nom de la notaire destinataire, et la désignation détaillée de l’objet. Le 2 novembre 2018, le notaire R.________ a écrit à la défenderesse, et s’est engagé à virer un montant de 86'500 fr. à titre de remboursement partiel des avoirs de prévoyance du demandeur au crédit du compte que Q.________ lui indiquerait, ainsi qu’à virer le solde, soit 83'500 fr., à sa consœur/confrère chargé d’instrumenter l’achat par A.M.________ et son épouse, B.M.________, d’une nouvelle résidence principale, moyennant l’accord préalable de Q.________. Le 7 novembre 2018, Q.________ a communiqué à Me R.________ son accord pour la consignation sur le compte de l’étude de sa consœur ou de son confrère du montant de 83'500 fr., pour une durée n’excédant pas deux ans. Elle a précisé que si cette somme ne devait pas être utilisée dans le cadre de l’encouragement à la propriété dans ce délai, l’intégralité du montant devrait lui être remboursé. En donnant son accord au notaire R.________ au versement du montant de 83'500 fr. sur le compte de consignation de la notaire qui instrumenterait l’acte de vente du logement de la commune d’[...],Q.________ a procédé conformément aux dispositions et à la jurisprudence rappelées ci-dessus (cf. consid. 3), sans que l’on ne discerne de sa part une violation des règles de la bonne foi, respectivement l’indication de renseignements erronés. Elle s’est en effet assurée que le montant en question soit utilisé pour l’achat d’un bien immobilier destiné au propre logement. La solution répandue dans la pratique est au demeurant celle selon laquelle les parties contractantes décident, dans le cadre de l'exécution du contrat de vente convenu, de faire verser d'abord le versement anticipé sur un compte de notaire, d'où les autres paiements sont ensuite effectués en fonction de la marche des affaires (STAUFFER, Berufliche Vorsorge, 2005, p. 372 n. 1002 ; cf. également les communications sur la prévoyance professionnelle n° 70 du 27 octobre 2003 n. 412 in fine). Il n’était dès lors nullement insolite de la part de la défenderesse d’autoriser le versement par Me R.________ du montant de 83'500 fr. sur le compte de consignation de Me L.________. Comme l’observe à juste titre la défenderesse, quand bien même l’institution de prévoyance et le notaire auraient précisé par écrit que l’acompte devrait être restitué à l’institution de prévoyance en faveur de la personne assurée, si la vente n’a pas lieu, cela ne signifie pas encore que la Caisse de pension serait tenue de supporter le risque financier inhérent à toute transaction immobilière conclue entre son assuré et un tiers, et ce indépendamment du point de savoir pour quelle raison la vente n’a finalement pas eu lieu. Au demeurant, et comme l’a rappelé le Tribunal fédéral (cf. ATF 138 V 495 consid. 2.4), les variantes d'exécution de l'acquisition d'un logement en propriété sont multiples ; l'élaboration du contrat de vente et la fixation de ses conditions sont en premier lieu l'affaire des parties contractantes, c'est-à-dire de l'acheteur et du vendeur. La défenderesse, en tant que caisse de pension versante, n'est pas impliquée à cet égard. La plupart des assurés ressentiraient d'ailleurs une telle intervention comme une ingérence dans leurs affaires personnelles (cf. ATF 138 V 495 consid. 2.4). La Haute Cour a aussi noté que l’on ne peut imposer à la caisse de pension versante une obligation générale de faire dépendre le versement du retrait anticipé de la preuve du transfert de propriété, et que l'achat d'un logement à l'aide d'un versement anticipé implique une certaine (co)responsabilité de l'assuré. En l’occurrence, et contrairement à l’arrêt TF 9C_419/2011 du 17 septembre 2012 dont se prévaut le demandeur, la défenderesse ne lui a pas donné d’indication erronée. Les parties contractantes ont rencontré un différend à la suite de la conclusion de l’acte de vente. Toutefois, la défenderesse est totalement étrangère à ce litige, qui oppose le demandeur et son épouse aux vendeurs de l’immeuble n° [...] de la commune d’[...]. La signature de la cession de créances des 14/18 février 2020 ne conduit pas à un autre constat. Comme l’a relevé la défenderesse, la signature de cette cession n’avait d’autre but que de dissiper tout éventuel doute concernant la légitimation active dans l’hypothèse où des démarches auraient dû être entreprises à l’encontre de la notaire L.________ qui, par courrier du 30 janvier 2019 à la défenderesse, s’était engagée à lui restituer le montant de 83'500 francs. Quant aux démarches que la défenderesse a entreprises, à bien plaire, à l’encontre de la notaire, elles ne peuvent être considérées comme un engagement de sa part de garantir ou de rembourser au demandeur le versement anticipé de 83'500 francs. Quant au fait que Me L.________ ne rembourse pas le montant de 83'500 fr. correspondant au solde du versement anticipé réclamé par le demandeur, respectivement que l’acompte versé par l’institution de prévoyance a d’ores et déjà été utilisé par la notaire qui l’a fait suivre au promettant vendeur, il ne lie pas davantage la défenderesse. Finalement les engagements des uns et des autres par rapport au montant de 83'500 fr. (utilisation du montant du versement anticipé par la notaire L.________ ; cession de créance entre le demandeur et la défenderesse ; engagement de remboursement de la notaire L.________) importent fondamentalement peu sur le plan de la prévoyance professionnelle, en l’absence de toute faute de la part de l’institution de prévoyance par rapport à la libération du montant litigieux. 5. La défenderesse a requis la production du dossier complet de la procédure actuellement pendante devant les tribunaux [...] opposant le demandeur et son épouse aux vendeurs de l’immeuble n° [...] de la commune d’[...]. Vu l’issue de la procédure, la mise en œuvre de cette mesure d’instruction n’apparaît pas de nature à apporter un éclairage différent des éléments retenus ci-dessus et peut dès lors être écartée par appréciation anticipée des preuves (ATF 145 I 167 consid. 4.1 ; 140 I 285 consid. 6.3.1 ; 137 III 208 consid. 2.2 ; 135 II 286 consid. 5.1). Pour le même motif, la cause n’a pas à être suspendue jusqu’à droit connu sur l’issue du litige pendant entre le demandeur et son épouse et les vendeurs de l’immeuble de la commune d’[...]. 6. a) Mal fondée, la demande formée par A.M.________ contre la Caisse de pension Q.________ doit par conséquent être rejetée. b) La procédure étant gratuite (art. 73 al. 2 LPP), il ne sera pas perçu de frais de justice. c) Bien que la défenderesse obtienne gain de cause, elle ne peut prétendre à des dépens de la part du demandeur. En effet, selon la jurisprudence (ATF 126 V 143 consid. 4 ; voir également ATF 128 V 323), l'assureur social qui obtient gain de cause devant une juridiction de première instance n'a pas droit à des dépens, y compris dans une procédure d'action en matière de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