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53/08 - 34/2009 vom 22. September 2009</w:t>
      </w:r>
    </w:p>
    <w:p>
      <w:r>
        <w:t>VD Tribunal cantonal, 2009-09-22, FR</w:t>
      </w:r>
    </w:p>
    <w:p>
      <w:r>
        <w:rPr>
          <w:b/>
        </w:rPr>
        <w:t xml:space="preserve">Quelle: </w:t>
      </w:r>
      <w:r>
        <w:t>https://mcp.opencaselaw.ch/entscheid/vd_findinfo_PP_53_08_-_34_2009</w:t>
      </w:r>
    </w:p>
    <w:p>
      <w:r>
        <w:t>FR: VD_FINDINFO PP 53/08 - 34/2009 du 22 septembre 2009</w:t>
      </w:r>
    </w:p>
    <w:p>
      <w:r>
        <w:t>IT: VD_FINDINFO PP 53/08 - 34/2009 del 22 settembre 2009</w:t>
      </w:r>
    </w:p>
    <w:p>
      <w:pPr>
        <w:pStyle w:val="Heading2"/>
      </w:pPr>
      <w:r>
        <w:t>Regeste</w:t>
      </w:r>
    </w:p>
    <w:p>
      <w:r>
        <w:t>RENTE DE VIEILLESSE, INSTITUTION DE PRÉVOYANCE, COMPENSATION DU RENCHÉRISSEMENT | 34 LCP, 36 al. 2 LPP</w:t>
      </w:r>
    </w:p>
    <w:p>
      <w:pPr>
        <w:pStyle w:val="Heading2"/>
      </w:pPr>
      <w:r>
        <w:t>Erwägungen</w:t>
      </w:r>
    </w:p>
    <w:p>
      <w:r>
        <w:rPr>
          <w:b/>
        </w:rPr>
        <w:t>E. 2</w:t>
      </w:r>
    </w:p>
    <w:p>
      <w:r>
        <w:t>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w:t>
      </w:r>
    </w:p>
    <w:p>
      <w:r>
        <w:rPr>
          <w:b/>
        </w:rPr>
        <w:t>E. 3</w:t>
      </w:r>
    </w:p>
    <w:p>
      <w:r>
        <w:t>Avant de prendre sa décision, le Conseil d'administration requiert le préavis de l'Assemblée des délégués et du Conseil d'Etat.</w:t>
      </w:r>
    </w:p>
    <w:p>
      <w:r>
        <w:rPr>
          <w:b/>
        </w:rPr>
        <w:t>E. 4</w:t>
      </w:r>
    </w:p>
    <w:p>
      <w:r>
        <w:t>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w:t>
      </w:r>
    </w:p>
    <w:p>
      <w:r>
        <w:rPr>
          <w:b/>
        </w:rPr>
        <w:t>E. 5</w:t>
      </w:r>
    </w:p>
    <w:p>
      <w:r>
        <w:t>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entrée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Il ressort du dossier, notamment des écritures de la défenderesse, que la dernière allocation de renchérissement octroyée a été décidée en 2006, a pris effet le 1 er janvier 2007 et s'est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sa réponse, la défenderesse retient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sa réponse, la défenderesse a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sa réponse (du 24 décembre 2008), la défenderesse indiquait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Dans cette même réponse, la défenderesse expose en outre que le degré de couverture a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Dans sa réplique (du 11 mars 2009), la défenderesse a précisé que son conseil d'administration devait tenir compte des données les plus récentes lors de sa décision sur l'adaptation des pensions au renchérissement, et partant ne pas se fonder uniquement sur les résultats publiés de l'exercice précédent (en l'occurrence 2007). Cela n'est à l'évidence pas critiquable.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La diminution du degré de couverture en 2008, que le recourant ne discute du reste pas, est un élément suffisamment net pour que l'on puisse considérer que les possibilités financières de la CPEV étaient limitées, au sens de l'art. 36 al. 2 LPP (c'est-à-dire à propos de l'indexation des rentes de vieillesse) à cette période-là. d) L'art. 34 al. 2 let. a LCP prescrit encore de tenir compte du niveau de la réserve pour fluctuation de valeurs. Dans sa réponse, la défenderesse expose que la baisse des valeurs mobilières sur les marchés a très grandement entamé en 2008 cette réserve. Cette évolution des cours est notoire. Le demandeur fait cependant valoir que, selon lui, la CPEV aurait bien traversé la crise. Le Conseil d'Etat a pour sa part estimé, au début de l'année 2009 (communiqué du 12 février 2009), que la crise financière avait touché la CPEV sans la mettre en péril. Il n'y a pas lieu de qualifier plus précisément les effets de la crise. Il suffit de retenir que toutes les réserves de la CPEV ont nécessairement été influencées à la baisse d'une manière ou d'une autre, y compris la réserve pour fluctuation de valeurs. L'appréciation des possibilités financières, telle qu'elle a été décrite ci-dessus (consid. 3c), n'est donc pas modifiée au regard du critère de l'art. 32 al. 2 let. a LCP.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