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25/17 vom 9. Januar 2018</w:t>
      </w:r>
    </w:p>
    <w:p>
      <w:r>
        <w:t>VD Tribunal cantonal, 2018-01-09, FR</w:t>
      </w:r>
    </w:p>
    <w:p>
      <w:r>
        <w:rPr>
          <w:b/>
        </w:rPr>
        <w:t xml:space="preserve">Quelle: </w:t>
      </w:r>
      <w:r>
        <w:t>https://mcp.opencaselaw.ch/entscheid/vd_findinfo_PP_25_17</w:t>
      </w:r>
    </w:p>
    <w:p>
      <w:r>
        <w:t>FR: VD_FINDINFO PP 25/17 du 9 janvier 2018</w:t>
      </w:r>
    </w:p>
    <w:p>
      <w:r>
        <w:t>IT: VD_FINDINFO PP 25/17 del 9 gennaio 2018</w:t>
      </w:r>
    </w:p>
    <w:p>
      <w:pPr>
        <w:pStyle w:val="Heading2"/>
      </w:pPr>
      <w:r>
        <w:t>Regeste</w:t>
      </w:r>
    </w:p>
    <w:p>
      <w:r>
        <w:t>PRÉVOYANCE PROFESSIONNELLE LIÉE, MESURE PROVISIONNELLE, POURSUITE PAR VOIE DE SAISIE | 73 al. 1 LPP, 73 al. 3 LPP, 56 PA, 109 LPA-VD, 261 al. 1 CPC (CH)</w:t>
      </w:r>
    </w:p>
    <w:p>
      <w:pPr>
        <w:pStyle w:val="Heading2"/>
      </w:pPr>
      <w:r>
        <w:t>Erwägungen</w:t>
      </w:r>
    </w:p>
    <w:p>
      <w:r>
        <w:rPr>
          <w:b/>
        </w:rPr>
        <w:t>E. 12</w:t>
      </w:r>
    </w:p>
    <w:p>
      <w:r>
        <w:t>juin 2017, vu la proposition d’arrangement transmise au conseil de la requérante par courrier du 8 septembre 2017 de Z.________, vu l’ultime délai au 27 septembre 2017 imparti à l’intéressée le 22 septembre 2017 par Z.________ pour retourner la proposition d’accord signée, faute de quoi il serait procédé à l’encaissement de la somme de 22'135 fr. 40, vu le courrier du 9 octobre 2017 du conseil de la requérante, indiquant que cette dernière ne signerait pas la proposition d’arrangement qui lui avait été soumise mais restait ouverte à toute démarche transactionnelle, vu le courrier du 6 novembre 2017 de Z.________, offrant à la requérante la possibilité de formuler une proposition concrète dans les dix jours et lui transmettant un décompte des prestations versées à tort et des primes dues au 1 er novembre 2017, daté du 6 novembre 2017, dont la teneur était la suivante : "Le montant des primes du 30.11.16 au 31.03.2017 représentant CHF 1'614.65 que nous devions restituer à Mme P.________ a, dans un premier temps, été déduit des prestations versées à tort. Toutefois, comme nous avons réactivé sa police au 1 er mai 2017 et que les primes courantes sont dues tant que l’assureur n’a pas pu statuer sur un éventuel droit à la libération de primes en cas d’incapacité de gain, le montant précité a finalement été porté en déduction des primes courantes afin d’acquitter les primes échues et interrompre une procédure de rappel. […] Prestations versées à tort : Rentes payées du 22 juin 2015 au 31 janvier 2016 CHF 19'466.55 Primes libérées du 22 juin 2015 au 31 janvier 2016 CHF 2'922.45 ./. Solde en votre faveur sur le compte de primes CHF 253.55 Prestations en notre faveur CHF 22'135.45 (facturation que nous envisagions de bloquer jusqu’à droit connu de la CASSO) Primes courantes facturées (payables trimestriellement) : Du 01.02.2017 au 30.04.2017 CHF 1'201.00 Du 01.05.2017 au 31.07.2017 CHF 1'201.00 Du 01.08.2017 au 31.10.2017 CHF 1'201.00 Du 01.11.2017 au 31.01.2018 CHF 1’201.00 Sous-total facturé CHF 4'804.00 ./. versement et primes libérées : - versement du 01.03.2017 CHF 1'201.00 - libération des primes du 30.11.2016 au 31.03.2017 CHF 1'614.65 - libération des primes du 01.04.2017 au 30.04.2017 CHF 400.35 Solde des primes courantes en notre faveur CHF 1'588.00 Total au 01.11.2017 en notre faveur CHF 23'723.45 ", vu la mise en demeure du 8 novembre 2017 de Z.________, faisant suite à un rappel de primes du 4 octobre 2017 pour les primes du 1 er août au 31 octobre 2017, vu les avis de débit produits par l’intéressée pour l’année 2016, vu la demande introduite le 3 novembre 2017 par P.________ devant la CASSO, comprenant une requête de mesures provisionnelles, pour laquelle la requérante a conclu, sous suite de frais et dépens, à ce que ordre soit donné à Z.________ « de surseoir immédiatement au recouvrement de tous montants qui pourraient être réclamés sur la base du contrat de prévoyance liée dont le n° de police est [...] à P.________ jusqu'à droit connu sur le fond de la présente procédure, et ce sous la menace, en cas d'insoumission, de la peine d'amende prévue à l'article 292 du Code pénal suisse », vu les déterminations sur la requête de mesures provisionnelles du 20 novembre 2017 de l’intimée, concluant au rejet de cette requête, vu les déterminations du 4 décembre 2017, dans lesquelles la requérante a maintenu sa position, vu les pièces au dossier ; attendu qu'aux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 droit, que ce tribunal est également compétent pour les contestations avec des institutions lorsque ces contestations résultent de l'application de l'art. 82 al. 2 LPP (art. 73 al. 1 let b LPP), que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9C_44/2013 du 24 avril 2013 consid. 2 et 9C_944/2008 du 30 mars 2009 consid. 2.2), que selon l’art. 73 al. 3 LPP, le for des litiges du droit de la prévoyance professionnelle est au siège ou domicile suisse du défendeur ou au lieu de l'exploitation dans laquelle l'assuré a été engagé, qu'en l'espèce, la requérante ayant conclu un contrat de prévoyance liée avec Z.________ dont le siège est à [...], le canton de Vaud est compétent pour connaître du litige les opposant, que dans le canton de Vaud, la Cour des assurances sociales du Tribunal cantonal est compétente pour connaître des contestations visées à l’art. 73 al. 1 LPP (art. 93 al. 1 let. c LPA-VD [loi cantonale vaudoise du 28 octobre 2008 sur la procédure administrative ; RSV 173.36]), qu’en matière de prévoyance professionnelle, les institutions de prévoyance ne sont pas habilitées à rendre des décisions proprement dites, de sorte que lorsqu’un litige survient au sujet de prétentions qu’elles font valoir envers des assurés ou qu’elles leur refusent, ce litige doit se résoudre par la voie d’une action devant le tribunal compétent, de façon analogue à un litige privé (ATF 129 V 450 consid. 2, 118 V 158 consid. 1, 117 V 329 consid. 5d et 115 V 224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 attendu qu'en vertu de la jurisprudence du Tribunal fédéral, l'art. 56 PA (loi fédérale du 20 décembre 1968 sur la procédure administrative ; RS 172.021), constitue une base légale de droit fédéral permettant, dans le domaine de la prévoyance professionnelle, d'ordonner des mesures provisionnelles en première instance (ATF 119 V 295 consid. 3 et 4 ; TF 9C_647/2015 du 1 er octobre 2015 consid. 3 ; TFA B 97/04 du 7 janvier 2005 consid. 6), que la compétence pour rendre les décisions relatives aux mesures provisionnelles appartient au magistrat instructeur statuant en tant que juge unique (art. 94 al. 2 LPA-VD), que, dans la mesure où l'art. 86 LPA-VD, applicable aux mesures provisionnelles en cas de recours administratif, ne figure pas dans la liste de l'art. 109 al. 1 LPA-VD qui énumère les dispositions applicables par analogie à la procédure d'action, il convient d'en déduire que le CPC (code de procédure civile du 19 décembre 2008 ; RS 272) est directement applicable (art. 109 al. 2 LPA-VD), que c'est ainsi sous l'angle des conditions de l'art. 261 al. 1 CPC, plus strictes que celles de la conservation d'un état de fait ou de droit ou la sauvegarde d'intérêts menacés de l'art. 86 LPA-VD, que l'octroi de mesures provisionnelles doit être examiné, qu'aux termes de l'art. 261 al. 1 CPC, le tribunal ordonne les mesures provisionnelles nécessaires lorsque le requérant rend vraisemblable qu'une prétention dont il est titulaire remplit les conditions suivantes : elle est l'objet d'une atteinte ou risque de l'être (let. a) ; cette atteinte risque de causer un préjudice difficilement réparable (let. b), que cette disposition pose des conditions cumulatives à l'octroi des mesures provisionnelles, qu'ainsi, pour en bénéficier, le requérant doit rendre vraisemblable qu'un droit dont il se prétend titulaire est l'objet d'une atteinte ou risque de l'être et que cette atteinte est susceptible d'entraîner un préjudice difficilement réparable (François Bohnet, Code de procédure civile commenté, 2011, n. 3 ad art. 261 CPC), qu’un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 139 III 86 consid. 4.2 et les références citées), que plus particulièrement, le requérant doit rendre vraisemblable que le droit matériel invoqué existe et que le procès a des chances de succès, à défaut de quoi la requête doit être rejetée, sans qu'il soit nécessaire de passer à l'examen des conditions inscrites à l'art. 261 let. a et b, le droit matériel définissant ainsi les limites que le juge des mesures provisionnelles ne peut dépasser (Bohnet, op. cit., n. 7 ad art. 261 CPC), que par ailleurs, toute mesure provisionnelle présuppose la nécessité d'une protection immédiate en raison d'un danger imminent menaçant ses droits (Fabienne Hohl, Procédure civile, tome II, 2 e éd., 2010, n. 1758 et 1762), que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qu’en d'autres termes, il s'agit d'éviter d'être mis devant un fait accompli dont le jugement ne pourrait pas complètement supprimer les effets (TF 4A_611/2011 du 3 janvier 2012 consid. 4.1), que le dommage difficilement réparable de l'art. 261 al. 1 let. b CPC est principalement de nature factuelle ; il concerne tout préjudice, patrimonial ou immatériel, et peut même résulter du seul écoulement du temps pendant le procès (ATF 138 III 378 consid. 6.3), qu’est difficilement réparable le préjudice qui sera plus tard impossible ou difficile à mesurer ou à compenser entièrement ; entrent notamment dans ce cas de figure la perte de clientèle et l'atteinte à la réputation d'une personne (TF 4A_611/2011 du 3 janvier 2012 consid. 4.1), que le risque d'un préjudice irréparable implique aussi que la mesure respecte le principe de la proportionnalité ; elle doit ainsi être apte à atteindre le but visé, être nécessaire, c'est-à-dire indispensable pour l'atteindre, toute autre mesure ou action judiciaire se révélant inapte à sauvegarder les intérêts du requérant, et être proportionnée à ce but, les alternatives les moins incisives devant avoir la préférence (HohI, op. cit., n. 1765 et 1766 ; Message du Conseil fédéral du 28 juin 2006 relatif au CPC, FF 2006 p. 6962), que si plusieurs mesures sont aptes à atteindre le but recherché, il convient de choisir la moins incisive, celle qui porte le moins atteinte à la situation juridique de la partie intimée (TF 4A_611/2011 du 3 janvier 2012 consid. 4.1), que,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 1771 et 1772), que le juge doit procéder à la mise en balance des intérêts contradictoires,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(ATF 131 III 473 consid. 2.3), que les mesures conservatoires visent à maintenir l'objet du litige dans l'état où il se trouve pendant toute la durée du procès et qu'elles protègent le droit allégué dans la mesure où elles garantissent que le jugement au fond pourra être exécuté (HohI, op. cit., n. 1746), que ces mesures ne peuvent garantir que des droits de nature non pécuniaire, sous réserve des exceptions expressément admises par la loi (art. 303 al. 2 CPC), qu'ainsi, hormis les cas dans lesquels le droit matériel autorise expressément la consignation ou la prestation de sûretés, il ne peut être pris de mesures provisionnelles pour protéger des créances pécuniaires à titre provisoire (ATF 108 II 180 consid. 2a et 86 II 291 consid. 2 ; TF 5D_54/2008 du 23 juin 2008 consid. 2.3), que le champ d'application des mesures provisionnelles conservatoires est donc en principe limité à la protection des droits réels ou personnels dont la nature n'est pas pécuniaire (Hohl, op. cit., n. 1748) ; attendu qu’il a été jugé que l'ouverture d'une poursuite qui ne vise pas le recouvrement d'une créance, mais qui a essentiellement pour but de porter atteinte au crédit de la personne poursuivie, constitue une atteinte à l'honneur de cette personne (Nicolas Jeandin, Commentaire romand, Code civil I, 2010, n. 36 ad art. 28 CC), que la communication d’une inscription au registre des poursuites peut entraîner de graves inconvénients pour les personnes indûment poursuivies, par exemple s’agissant de la conclusion d’un contrat de location, d’une demande de crédit ou de la recherche d’un emploi (ATF 141 III 68 consid. 2.6.2), que dans la mesure où le débiteur rend vraisemblable que la poursuite intentée par le créancier porte atteinte à sa réputation et à son crédit de manière illicite – notamment parce que la poursuite est utilisée comme moyen de contrainte (TF 6B_281/2013 du 16 juillet 2013 consid. 1.1.2 et 6S_853/2000 du 9 mai 2001 consid. 4c ) ou qu'elle a été introduite dans le dessein de nuire à la réputation et au crédit du débiteur –, il peut agir par la voie des mesures provisionnelles de l'art. 261 CC pour obtenir, sans devoir attendre l'issue d’une action au fond (notamment action générale en constatation de l'inexistence de la créance ; ATF 132 III 277 c. 4.2, 128 III 334 et 125 III 149), que la poursuite en question ne soit pas communiquée à des tiers ; attendu qu’en l’espèce, la requérante requiert le prononcé de mesures provisionnelles conservatoires pour se prémunir, d’une part d’une atteinte imminente à son honneur ou à sa réputation économique et, d’autre part d’une atteinte imminente à sa situation financière, qu’au degré de la vraisemblance, on ne peut exclure que la requérante est titulaire des droits invoqués et que le procès a des chances de succès, que la vraisemblance de l’imminence de l’introduction d’une procédure de recouvrement par voie de poursuite doit être reconnue à ce stade, bien que l’intimée ait plusieurs fois imparti à la requérante des délais pour s’exécuter, sans pour autant agir à l’échéance de ceux-ci, que s’agissant du risque d’atteinte à l’honneur ou à la réputation économique de l’intéressée, on relèvera qu’il est vraisemblable que la créance dont le recouvrement par voie de poursuite pourrait être requis par l’intimée n’est pas totalement infondée ni prescrite, compte tenu notamment des conditions générales d’assurance de l’intimée, de la décision du 22 juin 2015 de l’OAI et des déclarations de renonciation à la prescription signées par l’intéressée, que le montant de cette créance tel qu’articulé jusqu’à présent par l’intimée n’apparaît, toujours au stade de la vraisemblance, pas non plus disproportionné vu en particulier la rente versée à la requérante pendant la période litigieuse, que l’intimée n’a pas déjà notifié d’autres poursuites à l’intéressée pour le même montant, que la poursuite qui pourrait être intentée par l’intimée viserait ainsi vraisemblablement à sauvegarder des intérêts légitimes, soit le recouvrement d'une créance, et non à nuire à la réputation et au crédit de la requérante, ce qui serait licite, que par ailleurs, dans tous les cas, si un commandement de payer était notifié à la requérante de manière illicite, il serait toujours possible à l’intéressée de déposer une requête de mesures provisionnelles tendant à interdire à l'office des poursuites de porter à la connaissance de tiers ladite poursuite, ce qui permettrait de sauvegarder ses intérêts, que dans ce contexte, la requérante ne rend pas vraisemblable qu’elle risque de subir une atteinte imminente à son honneur ou à sa réputation économique susceptible de lui causer un préjudice irréparable, que s’agissant du risque d’atteinte à la situation financière de l’intéressée – la question de la possibilité d’utiliser la voie des mesures provisionnelles pour protéger un tel droit de nature pécuniaire peut rester ouverte au vu de ce qui suit –, la Cour observe que l’imminence d’un préjudice difficilement réparable n’est pas vraisemblable, qu’en effet, si un commandement de payer devait être notifié à la requérante, elle aurait la possibilité de s’y opposer, ce qui suspendrait la procédure de poursuite et conduirait à la procédure de mainlevée, que compte tenu des pièces au dossier, il est peu vraisemblable que l’intimée dispose d’une reconnaissance de dette – soit un acte sous seing privé, signé par le poursuivi d'où ressort sa volonté de payer au poursuivant, sans réserve ni condition, une somme d'argent déterminée, ou aisément déterminable, et échue (ATF 139 III 297 consid. 2.3.1) – lui permettant d’obtenir une mainlevée provisoire, de sorte que la mainlevée de l’opposition ne pourrait le cas échéant être obtenue qu’au terme d’une procédure judiciaire, que l’intéressée ne s’expose ainsi pas à payer une quelconque somme d’argent dans l’immédiat, que la requérante ne rend pas vraisemblable d’autres conséquences négatives immédiates sur sa situation financière, que par ailleurs, dans tous les cas, même si la requérante obtenait gain de cause au fond après que l’intimée ait recouvré le montant de la créance litigieuse, elle serait assurée que les prestations dues lui seront versées par l’intimée avec effet rétroactif, que dans ce contexte, la requérante ne rend pas non plus vraisemblable qu’elle risque de subir une atteinte à sa situation financière susceptible de causer un préjudice difficilement réparable, qu'au vu de ce qui précède, la conclusion, tendant à ordonner à l'intimée, sous la menace de la peine d'amende prévue à l'art. 292 CP (Code pénal suisse du 21 décembre 1937 ; RS 311.0), de surseoir au recouvrement de tous montants qui pourraient être réclamés sur la base du contrat de prévoyance liée conclu avec l’intéressée jusqu'à droit connu sur le fond de la procédure, doit être rejetée ; attendu que la présente procédure est rendue sans frais (art. 73 al. 2 LPP) ; que l’intimée, qui a procédé en faisant appel à ses organes internes et non avec le concours d'un mandataire professionnel, n'a pas droit à des dépens (art. 55 LPA-VD, applicable par renvoi de l'art. 109 al. 1 LPA-VD), Par ces motifs, la juge instructeur prononce : I. La requête de mesures provisionnelles figurant dans la demande introduite le 3 novembre 2017 par P.________ est rejetée. II. Il n'est pas perçu de frais judiciaires, ni alloué de dépens. La juge instructeur : La greffière : Du L’ordonnance qui précède est notifiée à : ‑ Me Antonella Cereghetti Zwahlen (pour P.________), ‑ Z.________,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