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24/21 - 38/2023 vom 11. Dezember 2023</w:t>
      </w:r>
    </w:p>
    <w:p>
      <w:r>
        <w:t>VD Tribunal cantonal, 2023-12-11, FR</w:t>
      </w:r>
    </w:p>
    <w:p>
      <w:r>
        <w:rPr>
          <w:b/>
        </w:rPr>
        <w:t xml:space="preserve">Quelle: </w:t>
      </w:r>
      <w:r>
        <w:t>https://mcp.opencaselaw.ch/entscheid/vd_findinfo_PP_24_21_-_38_2023___________</w:t>
      </w:r>
    </w:p>
    <w:p>
      <w:r>
        <w:t>FR: VD_FINDINFO PP 24/21 - 38/2023 du 11 décembre 2023</w:t>
      </w:r>
    </w:p>
    <w:p>
      <w:r>
        <w:t>IT: VD_FINDINFO PP 24/21 - 38/2023 del 11 dicembre 2023</w:t>
      </w:r>
    </w:p>
    <w:p>
      <w:pPr>
        <w:pStyle w:val="Heading2"/>
      </w:pPr>
      <w:r>
        <w:t>Regeste</w:t>
      </w:r>
    </w:p>
    <w:p>
      <w:r>
        <w:t>LF SUR LA PRÉVOYANCE PROFESSIONNELLE VIEILLESSE, SURVIVANTS ET INVALIDITÉ, RENTE D'INVALIDITÉ, CONNEXITÉ MATÉRIELLE, CONNEXITÉ TEMPORELLE, ATTEINTE À LA SANTÉ PHYSIQUE, ATTEINTE À LA SANTÉ PSYCHIQUE, REJET DE LA DEMANDE | 23 LPP</w:t>
      </w:r>
    </w:p>
    <w:p>
      <w:pPr>
        <w:pStyle w:val="Heading2"/>
      </w:pPr>
      <w:r>
        <w:t>Erwägungen</w:t>
      </w:r>
    </w:p>
    <w:p>
      <w:r>
        <w:rPr>
          <w:b/>
        </w:rPr>
        <w:t>E. 11</w:t>
      </w:r>
    </w:p>
    <w:p>
      <w:r>
        <w:t>décembre 2023 __________________ Composition :               M. Neu , président Mmes Pelletier et Saïd, assesseures Greffier : M.              Germond ***** Cause pendante entre : O.________ , à [...], demanderesse, représentée par Me Jean-Michel Duc, avocat à Lausanne, et P.________ , c/o [...] SA à […], défenderesse, représentée par Mes Nicolas Gillard et Cendrine Rouvinez, avocats à Lausanne. _______________ Art. 23 LPP E n  f a i t  : A. O.________ (ci-après : la demanderesse), née en [...], a travaillé depuis le 15 août 2001 en qualité d’aide de cuisine dans le restaurant le « [...] » sis à [...], au service de la société A.__________ SA. A compter du 1 er mai 2007, elle a présenté une incapacité de travail pour maladie et a perçu des indemnités journalières de l’assureur perte de gain en cas de maladie de son employeur (H.________ Assurances SA). Elle a été victime de deux accidents (chutes) les 8 octobre et</w:t>
      </w:r>
    </w:p>
    <w:p>
      <w:r>
        <w:rPr>
          <w:b/>
        </w:rPr>
        <w:t>E. 12</w:t>
      </w:r>
    </w:p>
    <w:p>
      <w:r>
        <w:t>février 2020, confirmé par décision du 9 octobre 2020, l’OAI a alloué une rente entière d’invalidité à la demanderesse dès le 1 er octobre 2019, sur la base d’un degré d’invalidité de 100 %. Selon les constatations de l’OAI, si l’intéressée présentait une incapacité de travail totale dans son activité habituelle depuis octobre 2018, à l’issue du délai d’attente, soit en octobre 2019, elle disposait d’une capacité de travail résiduelle de 50 % dans une activité adaptée mais dont il ne pouvait pas être tenu compte en raison de son âge (plus de cinquante-cinq ans). Des copies du projet et de la décision ont été adressées à P.________. C. Par demande déposée le 9 septembre 2021, O.________, représentée par Me Jean-Michel Duc, a ouvert action devant la Cour des assurances sociales du Tribunal cantonal tendant à ce qu’elle soit mise au bénéfice de l’assistance judiciaire, son conseil étant nommé d’office, et à ce que P.________ (ci-après : la défenderesse) soit condamnée à lui allouer « les prestations légales et réglementaires d’invalidité ainsi que de vieillesse, avec intérêts moratoires dont les montants sont calculés à dire de justice ». En substance, la demanderesse a fait valoir qu’elle s’était trouvée en incapacité de travail totale à compter du 1 er mai 2007, alors qu’elle était employée auprès d’ A.__________ SA depuis le</w:t>
      </w:r>
    </w:p>
    <w:p>
      <w:r>
        <w:rPr>
          <w:b/>
        </w:rPr>
        <w:t>E. 15</w:t>
      </w:r>
    </w:p>
    <w:p>
      <w:r>
        <w:t>août 2001, ladite incapacité de travail étant survenue alors qu’elle était affiliée auprès de la défenderesse. Rappelant que la décision d’octroi par l’OAI d’une rente entière d’invalidité dès le 1 er octobre 2019 retenait comme pathologies une gonarthrose bilatérale, une myopie sévère de l’œil gauche, une lombalgie du canal lombaire étroit et des troubles dégénératifs, la recourante plaidait, sur la base des avis des médecins consultés, que ces atteintes à la santé étaient identiques à celles à l’origine de son incapacité de travail du 1 er mai 2007 et que, dès lors, la connexité matérielle était « indubitablement donnée ». Quant à la connexité temporelle, elle était également « manifestement donnée » dans la mesure où depuis le 1 er mai 2007, la demanderesse n’avait plus recouvré de capacité de travail, même partielle. A titre de mesures d’instruction, elle a notamment sollicité la production par la défenderesse de ses règlements et de leurs modifications, de toutes ses attestations de prévoyance, des comptes techniques et témoin, ainsi que de toutes les décisions de son conseil de fondation depuis 2007. Par décision du 13 septembre 2021, O.________ a été mise au bénéfice de l’assistance judiciaire avec effet au 9 septembre 2021. Elle était exonérée du paiement d’avances et des frais judiciaires. Elle était également exemptée de s’acquitter de toute franchise mensuelle. Un avocat d’office en la personne de Me Jean-Michel Duc lui a été désigné. Par réponse du 8 novembre 2021, P.________, représentée par Mes Nicolas Gillard et Cendrine Rouvinez, a conclu, sous suite de frais et dépens, au rejet de la demande introduite le 9 septembre 2021 par O.________. La défenderesse plaide l’absence de causalité matérielle et temporelle entre l’incapacité de travail et l’origine de l’invalidité de la demanderesse, laquelle ne peut par ailleurs prétendre à des prestations d’assurance-vieillesse n’étant plus assurée lors de son passage à la retraite et ses rapports de travail ayant été dissous plus de cinq ans avant l’âge de la retraite AVS. Sous le bordereau de pièces joint à son écriture, la défenderesse a notamment produit une lettre adressée à l’OAI le 19 février 2020 par laquelle elle refusait d’allouer ses prestations à la demanderesse contestant le lien de causalité entre l’invalidité reconnue par l’OAI depuis octobre 2018 et la cause de l’incapacité de travail survenue en 2007 alors que la demanderesse était affiliée auprès d’elle. Au terme d’un double échange d’écritures produites les 1 er décembre 2021, 4 janvier, 21 janvier, 14 février et 3 mars 2022, les parties ont confirmé leurs argumentations respectives. Le 1 er juin 2023, Me Duc a déposé la liste de ses opérations.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la tribunal compétent à raison du lieu de l’exploitation dans laquelle celle-ci a été engagée, est recevable à la forme. Il y a lieu d’entrer en matière. 2. Le litige porte sur le droit de la demanderesse à des prestations d’invalidité de la prévoyance professionnelle de la part de l’institution de prévoyance défenderesse. 3. a) Selon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[dans sa teneur en vigueur au 31 décembre 2021]).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Si une institution de prévoyance reprend explicitement ou par renvoi la définition de l’assurance-invalidité, elle est en principe liée, lors de la survenance du fait assuré, par l’estimation de l’invalidité par les organes de l’assurance-invalidité, sauf si cette évaluation apparaît d’emblée insoutenable (ATF 144 V 72 consid. 4.1 ; 138 V 409 consid. 3.1 ; 130 V 270 consid. 3.1 ; TF 9C_35/2016 du 16 août 2016 consid. 3.3 in SVR 2018/7 n. 27 p. 92).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L’effet contraignant d’une décision de l’assurance-invalidité pour une institution de prévoyance professionnelle ne peut toutefois pas s’étendre à des constatations qui n’étaient pas déterminantes pour la fixation du droit à une rente de l’assurance-invalidité. Il n’y a pas d’effet contraignant notamment lorsque la rente de l’assurance-invalidité a été octroyée sur la base d’une demande tardive (TF 9C_464/2015 du 31 mai 2016 consid. 2.4.2 et les références citées). d)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f)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déjà, sans interruption notable, et sans qu’une complication prochaine soit à craindre. Lorsque l’intéressé dispose à nouveau d’une pleine capacité de travail pendant au mois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Est déterminante pour fixer le moment de la survenance de l’incapacité de travail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Cette activité doit cependant permettre de réaliser par rapport à l’activité initiale un revenu excluant le droit à une rente (ATF 134 V 20 consid. 5.3). L’exercice d’une activité permettant de réaliser un revenu excluant le droit à la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citée]). Le fait que l’intéressé est en mesure de réaliser un revenu excluant le droit à une rente n’apparaît déterminant que si celui-ci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4. a) En l’espèce, dans la décision qu’il a rendue le 9 octobre 2020, l’OAI a retenu que la demanderesse avait présenté une incapacité totale de travail dans son activité habituelle depuis octobre 2018 et qu’à l’issue du délai d’attente, soit en octobre 2019, elle disposait d’une capacité de travail résiduelle de 50 % dans une activité adaptée mais dont il ne pouvait pas être tenu compte au vu de son âge (plus de cinquante-cinq ans). Le projet d’octroi d’une rente entière d’invalidité du 12 février 2020 ainsi que la décision du 9 octobre 2020 ont été communiqués à la défenderesse de sorte qu’elle est réputée avoir pris part à la procédure de l’assurance-invalidité avec pour corollaire qu’elle est en principe liée par les constatations contraignantes de l’OAI (cf. consid. 3c supra). Par lettre du 19 février 2020, la défenderesse a du reste informé l’OAI qu’elle refusait d’allouer ses prestations à la demanderesse contestant le lien de causalité entre l’invalidité reconnue par l’OAI depuis octobre 2018 et la cause de l’incapacité de travail survenue en 2007 alors que la demanderesse était affiliée auprès d’elle. b) Le droit à une rente d’invalidité à charge de la défenderesse dépend de la question de savoir si les atteintes à la santé qui ont conduit à l’octroi d’une rente de l’assurance-invalidité sont étroitement liées, matériellement et temporellement, à une incapacité de travail survenue pendant le rapport de prévoyance ou si, au contraire, elles ne le sont pas. D’après les explications fournies par la défenderesse – non contestées par la demanderesse –, la demanderesse a été affiliée auprès de la défenderesse en tant que salariée jusqu’au 4 novembre 2008. c) Il convient de relever d’emblée que l’on peut douter de la connexité matérielle, vu le nombre d’atteintes à la santé et de limitations fonctionnelles qui sont survenues et se sont accumulées au fil du temps. En effet, dans sa première demande de prestations de l’assurance-invalidité du 6 décembre 2007, soit durant la période où elle était affiliée auprès de la défenderesse, la demanderesse faisait état de problèmes lombaires, d’obésité, de jambes, de genoux, de sommeil, de tyroïde et psychiatriques. Les expertises contemporaines mises en œuvre par l’OAI ont par ailleurs retenu une obésité ainsi qu’une dysthymie. La demanderesse conservait ainsi une capacité de travail de 85 % dans une activité adaptée à son état de santé défaillant à compter du 1 er décembre 2007. A l’appui de sa seconde demande de prestations AI du 11 juillet 2012, la demanderesse invoquait une péjoration de son état de santé, avec l’apparition d’une perte de vision de l’œil gauche (amblyopie) et une vision de l’œil droit à 80%, selon les rapports de consultation de l’hôpital ophtalmique d’août et septembre 2012. Dans le cadre de sa troisième demande du 30 novembre 2018, alléguant une aggravation de ses lombalgies, une gonarthrose, des troubles ophtalmologiques et psychiatriques, c’est en définitive une capacité de travail résiduelle de 50 % dans une activité adaptée qui a été retenue par l’OAI à l’issue du délai d’attente, soit en octobre 2019. d) La question de la connexité matérielle entre l’incapacité de travail de la demanderesse survenue en 2007 et son invalidité en 2018 peut toutefois demeurer indécise dès lors que la connexité temporelle est à l’évidence rompue. L’OAI a, au terme d’une instruction au long cours, retenu une capacité de travail dans une activité adaptée aux limitations fonctionnelles de 85 % par décision du 14 octobre 2011, entrée en force, laquelle n’a pas non plus été remise en cause dans le cadre d’un refus d’entrer en matière sur une seconde demande en 2012. Ce ne sera qu’en 2020, sur une troisième demande de prestations, que l’OAI retiendra une capacité de travail résiduelle restreinte à 50 % dès octobre 2018, soit dix années après la fin des rapports de travail avec la défenderesse (le contrat de travail de la demanderesse ayant été résilié avec effet au 31 mars 2008 pour des motifs de santé). Cela étant, la capacité de travail de 80 % dans une activité adaptée théorique telle qu’imputée à la demanderesse par décision en force ne trouve pas d’obstacle dans les avis des médecins traitants, qui ne constituent que des avis divergents et ne plaident au demeurant pas des éléments d’ordre médical dont l’OAI n’aurait pas tenu compte. Une capacité de travail dans une activité adaptée supérieure à 80 % ayant prévalu largement plus que les trois mois retenus par la jurisprudence (cf. consid. 3f supra), la rupture du lien de causalité temporelle commande le rejet de la demande de prestations de l’assurance-invalidité réclamées à la défenderesse. Cette dernière n’est pas non plus tenue de servir de rente de vieillesse dès lors qu’il n’y a pas de conversion de prestations de l’assurance-invalidité, cette question échappant toutefois à l’objet du présent litige (sur l’irrecevabilité de conclusions qui vont au-delà de l’objet de la contestation, tel que défini par la décision litigieuse, cf. ATF 144 II 359 consid. 4.3; 142 I 155 consid. 4.4.2 ; 134 V 418 consid. 5.2.1). e) Compte tenu de l’issue du présent litige, les réquisitions tendant à la production par la défenderesse de ses règlements et leurs modifications, de toutes ses attestations de prévoyance, des comptes techniques et témoin, ainsi que de toutes les décisions de son conseil de fondation depuis 2007, sont sans pertinence. 5. a) Mal fondée, la demande formée par O.________ contre P.________ est rejetée. b) Il n’y a pas lieu de percevoir de frais judiciaires (art. 73 al. 2 LPP), ni d’allouer des dépens à la demanderesse, qui n’obtient pas gain de cause (art. 55 al. 1 LPA-VD, applicable par renvoi de l’art. 109 LPA-VD). La défenderesse, qui a procédé dans l’accomplissement d’une tâche réglée par le droit public, n’a pas davantage droit à des dépens (ATF 126 V 143 consid. 4 ; voir également ATF 128 V 323). c) Par décision du 13 septembre 2021, la demanderesse a été mise au bénéfice de l’assistance judiciaire avec effet au 9 septembre 2021 et a obtenu à ce titre la commission d’un avocat d’office en la personne de Me Jean-Michel Duc. Contrôlée, la liste des opérations produite le 1 er juin 2023 peut être admise, au tarif de l’avocat-stagiaire Luca Zanello. Il y a donc lieu d’arrêter l'indemnité de Me Duc, correspondant à 7 heures et 30 minutes de travail, sur la base d’un tarif horaire de 110 fr., somme à laquelle il y a lieu d’ajouter la TVA au taux de 7,7 %, soit un total de 888 fr. 50. A ce montant, il convient d’ajouter les débours fixés forfaitairement à 5 % du défraiement hors taxe (art. 3bis al. 1 RAJ [règlement cantonal vaudois du 7 décembre 2010 sur l’assistance judiciaire en matière civile ; BLV 211.02.3]), avec TVA au taux de 7,7 % en sus, soit 44 fr. 40. L’indemnité totale sera donc arrêtée à 932 fr. 90 (888 fr. 50 + 44 fr. 40). d) La demanderesse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