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16/18 - 27/2019 vom 30. August 2019</w:t>
      </w:r>
    </w:p>
    <w:p>
      <w:r>
        <w:t>VD Tribunal cantonal, 2019-08-30, FR</w:t>
      </w:r>
    </w:p>
    <w:p>
      <w:r>
        <w:rPr>
          <w:b/>
        </w:rPr>
        <w:t xml:space="preserve">Quelle: </w:t>
      </w:r>
      <w:r>
        <w:t>https://mcp.opencaselaw.ch/entscheid/vd_findinfo_PP_16_18_-_27_2019</w:t>
      </w:r>
    </w:p>
    <w:p>
      <w:r>
        <w:t>FR: VD_FINDINFO PP 16/18 - 27/2019 du 30 août 2019</w:t>
      </w:r>
    </w:p>
    <w:p>
      <w:r>
        <w:t>IT: VD_FINDINFO PP 16/18 - 27/2019 del 30 agosto 2019</w:t>
      </w:r>
    </w:p>
    <w:p>
      <w:pPr>
        <w:pStyle w:val="Heading2"/>
      </w:pPr>
      <w:r>
        <w:t>Regeste</w:t>
      </w:r>
    </w:p>
    <w:p>
      <w:r>
        <w:t>SURASSURANCE, REJET DE LA DEMANDE, PRESTATION D'INVALIDITÉ, PRÉVOYANCE PROFESSIONNELLE, COUVERTURE D'ASSURANCE, DURÉE, INCAPACITÉ DE TRAVAIL, CALCUL | 23 LPP</w:t>
      </w:r>
    </w:p>
    <w:p>
      <w:pPr>
        <w:pStyle w:val="Heading2"/>
      </w:pPr>
      <w:r>
        <w:t>Erwägungen</w:t>
      </w:r>
    </w:p>
    <w:p>
      <w:r>
        <w:rPr>
          <w:b/>
        </w:rPr>
        <w:t>E. 11</w:t>
      </w:r>
    </w:p>
    <w:p>
      <w:r>
        <w:t>juin 2009 au 31 janvier 2011, il a conclu à l’octroi en sa faveur d’une demi-rente d’invalidité dès le 1 er mars 2016 ainsi qu’à l’octroi en faveur de ses enfants L.________ et T.________ d’une demi-rente d’enfant d’invalide dès le 1 er mars 2016, respectivement le 1 er octobre 2017, arguant du fait qu’il était couvert pour l’éventualité d’invalidité au sens de la prévoyance professionnelle auprès de F.G.________ à la date de l’accident, le 6 septembre 2009, qu’il n’avait pas repris le travail depuis lors et qu’il avait fait depuis lors sans interruption partie du collectif des assurés auprès de la H.________. Dans sa réponse du 30 août 2018, la H.________ a demandé à être formellement désignée comme partie défenderesse, en lieu et place de la société F.G.________ citée par C.________. Au fond, elle a conclu au rejet de la demande, estimant que, selon les constatations de l’OAI, l’incapacité de travail consécutive à l’accident du 5 septembre 2009 avait pris fin au plus tard le 28 février 2012 et que l’incapacité de travail survenue à compter du 7 mai 2014, sans relation de causalité avec l’accident du 5 septembre 2009, était apparue alors que la couverture d’assurance de prévoyance avait pris fin. La H.________ a également contesté la durée des rapports de travail telle qu’alléguée par C.________, estimant que le contrat de travail liant celui-ci à G.________ n’avait duré que du 1 er septembre au 31 décembre 2009. Elle a en outre reproché à C.________ une réticence, au motif qu’il n’avait pas annoncé dans son formulaire d’admission du 30 septembre 2009 l’incapacité de travail qu’il présentait à ce moment-là. Par réplique du 7 novembre 2018, C.________ a admis la rectification de partie proposée par la défenderesse et pris acte que la procédure était dirigée contre la H.________ – Œuvre de prévoyance de G.________ Sur le fond, il a pris de nouvelles conclusions dont la teneur était la suivante : Qu’il plaise à la Cour des assurances sociales du Tribunal Cantonale du canton de Vaud, avec suite de frais et dépens : I. Ordonner à la H.________-ŒUVRE DE PREVOYANCE DE G.________ de reporter au 11 juin 2009 la date d’affiliation du demandeur auprès de celle-ci et modifier ses différents avoir de prévoyance professionnelle en conséquence. II. Ordonner à la H.________-ŒUVRE DE PREVOYANCE DE G.________ de verser les rentes suivantes, selon décisions OAI des 12 février 2016 et 27 mai 2016 : - A C.________ une demi-rente d’invalidité (annuelle CHF 6'345,50, mensuelle CHF 528.80) du 1 er octobre 2011 au 31 décembre 2011. - Puis à nouveau depuis le 1 er mai 2015. - A l’enfant L.________, une demi-rente d’enfant d’invalide (annuelle CHF 1'269.10, mensuelle CHF 105.75) dès le 29 avril 2014 - A l’enfant T.________, une demi-rente d’enfant d’invalide (annuelle CHF 1'269.10, mensuelle CHF 105.75) dès le 1 er octobre 2017 Subsidiairement III. Dire que les rentes susmentionnées ne peuvent en aucun cas être inférieures au montant de CHF 6’065.- annuel (CHF 505,40 mensuel) en ce que concerne C.________ et CHF 1'213.- annuelle (CHF 101.10 mensuelle) pour chacun de ses enfants. IV. Ordonner une expertise en tant que de besoin. En substance, C.________ a contesté avoir recouvré une pleine capacité de travail au 1 er mars 2012, en voulant pour preuve le versement d’indemnités journalières par V.________ jusqu’au 30 avril 2014. Il a en outre soutenu que l’aggravation du 7 mai 2014 était survenue alors qu’il était toujours affilié auprès de la H.________, qui plus est quelques jours après la fin du versement des indemnités journalière de l’assurance-accident, et qu’elle était en lien de connexité avec l’accident du 5 septembre 2009. C.________ a en outre contesté toute réticence, arguant du fait que les questions du formulaire d’adhésion concernaient la situation prévalant au moment de l’admission, soit en juin 2009, période à laquelle il ne connaissait pas de problème de santé. Dans sa duplique du 29 novembre 2018, la H.________ a admis une affiliation de C.________ à la date du début des rapports de travail, s’il devait s’avérer que ceux-ci avaient débuté avant le 1 er septembre 2009. Elle a maintenu ses conclusions pour le surplus. Le 7 janvier 2019, le juge instructeur a informé les parties que les dossiers constitués par V.________ et l’OAI avaient été versés à la procédure et leur a imparti un délai pour venir les consulter et faire valoir leurs déterminations éventuelles. Par écritures respectives des 25 janvier et 26 février 2019, la H.________ et C.________ ont maintenu leurs conclusions.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 117 V 237 et 329 consid. 5d ;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e) Le « recours » déposé par C.________ doit être converti en action de droit administratif, ce dont le juge instructeur a informé les parties le 26 juillet 2018. Une telle action devant être introduite à l’encontre d’une fondation de prévoyance, elle aurait formellement dû être dirigée contre la H.________, et non contre F.G.________. La H.________ a admis sa légitimité passive en répondant directement à la demande et en proposant une rectification de la partie défenderesse, ce que le demandeur a accepté dans sa réplique du 7 novembre 2018. f) L’action du demandeur, formée devant le tribunal compétent à raison du lieu de l’exploitation dans laquelle il a été engagé, est recevable en la forme. Il y a lieu d’entrer en matière. 2. Le litige a pour objet la question de savoir si le demandeur peut prétendre à des prestations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d)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a) A teneur de l’art. 5 du règlement de prévoyance (dans sa version valable dès le 1 er janvier 2008, applicable à la présente affaire), il y a invalidité lorsque l’assuré est invalide au sens de l’AI ou lorsqu’il est médicalement établi, sur la base de signes objectifs, qu’il n’est totalement ou partiellement plus en mesure d’exercer sa profession ou une autre activité lucrative conforme à sa position sociale, à ses connaissances et à ses aptitudes (al. 1). En cas d’invalidité partielle, les prestations prévues pour une invalidité totale sont accordées en fonction du degré d’invalidité. L’invalidité de moins d’un quart n’ouvre pas droit aux prestations assurées. Les prestations pleines sont accordées en cas d’invalidité d’au moins deux tiers. Le degré d’invalidité correspond au moins à celui que reconnait l’AI (al. 2). Lorsque l’invalidité a été intentionnellement provoquée ou aggravée, seules sont dues les prestations obligatoires LPP ; elles seront toutefois réduites dans la mesure où l’AI refuse, réduit ou retire les siennes (al. 3). b) En l’occurrence, la disposition réglementaire relative à la notion d’invalidité va au-delà des exigences légales prévues par la prévoyance professionnelle obligatoire sous un double aspect. D’une part, le règlement prévoit l’allocation d’une rente déjà à partir d’un degré d’invalidité de 25%. D’autre part, la notion d’invalidité est définie de manière plus large que dans la LAI (et dans la LPP), puisque l’invalidité peut résulter de l’incapacité d’exercer sa profession ou une autre activité lucrative conforme à sa position sociale, à ses connaissances et à ses aptitudes, l’invalidité au sens de l’assurance-invalidité ne constituant qu’une alternative à cette possibilité (cf. TF 9C_578/2011 du 10 octobre 2012 consid. 4). c) Dans la mesure où la défenderesse dispose de sa propre définition de l’invalidité, laquelle ne correspond pas à celle de l’assurance-invalidité, elle peut en principe procéder librement à l’évaluation de l’invalidité selon ses propres règles, sous réserve que le taux d’invalidité retenu ne saurait être inférieur à celui fixé par les organes de l’assurance-invalidité. 5. a) Conformément à l’art.</w:t>
      </w:r>
    </w:p>
    <w:p>
      <w:r>
        <w:rPr>
          <w:b/>
        </w:rPr>
        <w:t>E. 15</w:t>
      </w:r>
    </w:p>
    <w:p>
      <w:r>
        <w:t>kg, des travaux de force et des mouvements répétitifs du poignet droit. L’OAI a estimé qu’à aucun moment les troubles d’ordre psychique présentés par le demandeur n’avaient porté atteinte à sa capacité de travail. L’OAI a ensuite reconnu une nouvelle diminution de la capacité de travail dès le 7 mai 2014 en raison des troubles lombaires, précisant à cet égard qu’il s’agissait d’une nouvelle atteinte, distincte de celle qui prévalait au moment du dépôt de la demande, pour laquelle un nouveau délai d’attente d’un an au sens de l’art. 28 al. 1 let. b LAI (loi fédérale du 19 juin 1959 sur l’assurance-invalidité ; RS 831.20) devait être appliqué. L’OAI a constaté qu’à l’issue dudit délai d’attente, le demandeur présentait une incapacité de travail de 50% due aux troubles lombaires. Sur la base de ces éléments, l’OAI a, par décisions des 12 février et 27 mai 2016, mis le demandeur au bénéfice d’une rente entière d’invalidité du 6 septembre 2010 au 31 décembre 2011, d’une demi-rente d’invalidité du 1 er janvier au 31 mars 2012, puis d’une demi-rente d’invalidité dès le 1 er mai 2015. c) Il n’y a pas lieu de s’écarter des considérations médicales précitées qui ont fait l’objet de décisions entrées en force. Si ces décisions ont certes été rendues pour trancher le droit aux prestations de l’assurance-accidents et l’assurance-invalidité, sur la base des règles spécifiques propres à ces deux régimes, les faits sur lesquels elles se basent permettent de statuer en plein connaissance de cause sur la question ici litigieuse. aa) Il sied dès lors de constater que l’atteinte au poignet droit a conduit à une incapacité de travail survenue durant la période d’affiliation du demandeur auprès de la défenderesse. Cette incapacité de travail a duré sans interruption du 5 septembre 2009 au 30 septembre 2011 à 100%, du 1 er octobre au 31 décembre 2011 à 50% puis du 1 er janvier au 28 février 2012 à 25%. bb) L’atteinte au niveau dorso-lombaire n’a induit une diminution de la capacité de travail qu’à compter du 7 mai 2014, alors que le demandeur n’était plus assuré auprès de la défenderesse. Cette pathologie n’est pas en lien de connexité matérielle avec celle qui s’est manifestée pendant les rapports d’affiliation de sorte qu’elle ne peut fonder un droit à des prestations d’invalidité auprès de la défenderesse. C’est en vain que le demandeur soutient que ses dorsolombalgies sont en lien de causalité avec l’accident du 5 septembre 2009. L’assurance-invalidité a certes alloué une demi-rente d’invalidité dès le 1 er mai 2015 en lien avec cette atteinte ; elle a cependant spécifié qu’il s’agissait-là d’une nouvelle atteinte, sans relation avec celles qui avaient permis l’octroi de prestations du 1 er septembre 2010 au 31 mars 2012, d’où l’imposition d’un nouveau délai d’attente, ce que le demandeur n’a pas contesté. cc) Enfin, il n’a pas été établi que les troubles psychiques présentés par le demandeur ont induits une quelconque incapacité de travail ; ils n’ont de ce fait jamais donné lieu à une invalidité. Le demandeur ne peut donc émettre aucune prétention à l’encontre de la défenderesse à cet égard. d) En définitive, seule l’incapacité de travail consécutive à la fracture du poignet droit subie le 5 septembre 2009 est susceptible de donner droit à des prestations d’invalidité à la charge de la défenderesse. 9. En l’occurrence, l’OAI a alloué au demandeur, en raison exclusivement des douleurs et de l’impotence fonctionnelle du poignet droit consécutive à la fracture-luxation subie le 5 septembre 2009, une rente entière d’invalidité du 1 er septembre 2010 au 31 décembre 2011 et une demi-rente d’invalidité du 1 er janvier au 31 mars 2012. Dans la mesure où il n’existe aucun motif justifiant que la défenderesse s’écarte de l’évaluation des organes de l’assurance-invalidité pour cette période (cf. supra consid. 4c et 5d), le demandeur peut également prétendre, à l’échéance d’un délai de carence d’une année (art. 26 al. 1 LPP en corrélation avec l’art. 28 al. 1 let. b LAI), sur le principe de la part de la défenderesse à une rente entière d’invalidité du 1 er septembre 2010 au 31 décembre 2011 et à une demi-rente d’invalidité du 1 er janvier au 31 mars 2012. 10. Cela étant, il convient d’examiner, conformément à l’art. 9 al. 1 du règlement de prévoyance, si l’on ne se trouve pas en présence d’un cas de surindemnisation. a) Pour rappel, l’art. 9 al. 1 du règlement de prévoyance prévoit que, lorsque le sinistre relève de la loi fédérale sur l’assurance-accidents (LAA) ou de la loi fédérale sur l’assurance militaire (LAM), la rente d’invalidité et la rente pour enfant d’invalide ainsi que la rente de veuve, la rente de veuf (ou les prestations en capital) et les rentes d’orphelin sont assurées uniquement dans le cadre des prestations minimales LPP et seulement dans la mesure où, ajoutées aux revenus à prendre en considération selon l’al. 2 let. a du règlement, et, en cas de droit aux prestations d’invalidité, à un salaire ou une compensation qui auraient été versés ou qui pourraient encore l’être, elles s’élèvent à 90 % de la perte de gain présumée. b) Sont réputés revenus à prendre en considération au sens de l’art. 9 al. 2 let. a du règlement de prévoyance les prestations de l’AVS/AI, de l’assurance-accidents selon la LAA, les prestations selon la LAM, d’autres assurances sociales ou institutions de prévoyance suisses ou étrangères (à l’exception des allocations pour impotents, des indemnités pour atteinte à l’intégrité et de toute autre prestation assimilable). c) Par « perte de gain présumée » il faut entendre le salaire hypothétique que l'assuré réaliserait sans invalidité, ce qui ne correspond pas forcément au gain effectivement obtenu avant la survenance de l'éventualité assurée (ATF 125 V 163 consid. 3b ; 123 V 193 consid. 5a ; 204 consid. 5b et les références). d) Avant de procéder au calcul de surindemnisation proprement dit, il convient de procéder à quelques constatations de fait : aa) Le gain présumé perdu doit être fixé à 67'200 fr., conformément aux renseignements issus du contrat de travail signé par le demandeur le 10 juin 2009 et du questionnaire rempli le 16 avril 2010 par l’employeur dans le cadre de la procédure en matière d’assurance-invalidité. bb) Le demandeur a bénéficié entre le 8 septembre 2009 et le 30 avril 2014 d’indemnités journalières de l’assurance-accidents d’un montant de 147 fr. 30 (cf. attestation fiscale établie le 28 avril 2015 par V.________ [249'820 fr. 80 / 1'696 jours]). cc) Le demandeur s’est vu allouer entre le 1 er septembre et le 31 décembre 2010 une rente entière de l’assurance-invalidité d’un montant mensuel de 1'788 fr., entre le 1 er janvier et le 31 décembre 2011 une rente entière de l’assurance-invalidité d’un montant mensuel de 1'819 fr. et entre le 1 er janvier et le 31 mars 2012 une demi-rente de l’assurance-invalidité d’un montant mensuel de 910 fr. dd) Il n’y a pas lieu de tenir compte des indemnités journalières complémentaires de l’assurance-accidents d’un montant de 18 fr. 40 versées au demandeur du 5 novembre 2009 au 30 avril 2014 par V.________ en vertu d’un contrat fondé sur la loi fédérale du 2 avril 1908 sur le contrat d’assurance (LCA ; RS 221.229.1), dans la mesure où le règlement de prévoyance ne prévoit pas la prise en compte dans le cadre d’un calcul de surindemnisation d’une telle prestation. e) Cela étant constaté, il y a lieu, s’agissant d’un calcul rétroactif de surindemnisation concernant des prestations dues pour une période limitée dans le temps, de procéder à un calcul global à partir du début du droit aux prestations d’invalidité de la prévoyance professionnelle et comprenant l’ensemble de la période durant laquelle lesdites prestations étaient dues (cf. ATF 139 V 519 consid. 3 ; 132 V 27 consid. 3.1 ; 126 V 193 consid. 3). En l’occurrence, le calcul se présente de la manière suivante : Gain présumé perdu ([16 x 5'600 fr.] + [3 x 2'800 fr.]) 98'200 fr. 00 Dont 90 % 88'200 fr. 00 ./. rente AI ([4 x 1'788 fr.] + [12 x 1'819 fr.] + [3 x 910 fr.]) 31'710 fr. 00 ./. indemnités journalières AA (578 x 147 fr. 30) 85'139 fr. 40 Total - 28'649 fr. 40 Le total des montants imputables étant supérieurs au 90 % du gain présumé perdu, le demandeur ne peut prétendre à des prestations d’invalidité de la part de la défenderesse. 11. Dans sa réponse à la demande, la défenderesse fait grief au demandeur d’avoir commis une réticence en ne déclarant pas, sur le formulaire d’adhésion qu’il avait rempli le 30 septembre 2009, qu’il subissait une atteinte à la santé et se trouvait en incapacité de travail. Cette question peut souffrir de demeurer indécise, dès lors que la défenderesse n’a pas procédé conformément aux règles formelles décrites à l’art. 6 LCA, selon lesquelles la résiliation doit intervenir par écrit dans les quatre semaines qui suivent le moment où l’assureur a eu connaissance de la réticence. 12. a) Mal fondée, la demande formée par C.________ contre la H.________ doit par conséquent être rejetée. b) La procédure étant gratuite (art. 73 al. 2 LPP), il ne sera pas perçu de frais de justice. c) Bien que la H.________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