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16/17 - 18/2019 vom 31. Mai 2019</w:t>
      </w:r>
    </w:p>
    <w:p>
      <w:r>
        <w:t>VD Tribunal cantonal, 2019-05-31, FR</w:t>
      </w:r>
    </w:p>
    <w:p>
      <w:r>
        <w:rPr>
          <w:b/>
        </w:rPr>
        <w:t xml:space="preserve">Quelle: </w:t>
      </w:r>
      <w:r>
        <w:t>https://mcp.opencaselaw.ch/entscheid/vd_findinfo_PP_16_17_-_18_2019</w:t>
      </w:r>
    </w:p>
    <w:p>
      <w:r>
        <w:t>FR: VD_FINDINFO PP 16/17 - 18/2019 du 31 mai 2019</w:t>
      </w:r>
    </w:p>
    <w:p>
      <w:r>
        <w:t>IT: VD_FINDINFO PP 16/17 - 18/2019 del 31 maggio 2019</w:t>
      </w:r>
    </w:p>
    <w:p>
      <w:pPr>
        <w:pStyle w:val="Heading2"/>
      </w:pPr>
      <w:r>
        <w:t>Regeste</w:t>
      </w:r>
    </w:p>
    <w:p>
      <w:r>
        <w:t>REJET DE LA DEMANDE, FINANCEMENT{PRÉVOYANCE PROFESSIONNELLE}, LF SUR LA PRÉVOYANCE PROFESSIONNELLE VIEILLESSE, SURVIVANTS ET INVALIDITÉ, PRÉVOYANCE PROFESSIONNELLE, DROIT CONSTITUTIONNEL À LA PROTECTION DE LA BONNE FOI, OBLIGATION DE RENSEIGNER | 86b LPP</w:t>
      </w:r>
    </w:p>
    <w:p>
      <w:pPr>
        <w:pStyle w:val="Heading2"/>
      </w:pPr>
      <w:r>
        <w:t>Erwägungen</w:t>
      </w:r>
    </w:p>
    <w:p>
      <w:r>
        <w:rPr>
          <w:b/>
        </w:rPr>
        <w:t>E. 1</w:t>
      </w:r>
    </w:p>
    <w:p>
      <w:r>
        <w:t>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du demandeur est recevable. c) Conformément aux art. 28 et 41 LPA-VD qui sont applicables par analogie à la procédure d’action en vertu de l’art. 109 al. 1 LPA-VD, le Tribunal établit les faits d’office et applique le droit d’office ; il n’est pas lié par les offres de preuves formulées par les parties. La tenue d’une audience préliminaire n’est donc pas obligatoire, comme l’audition du demandeur.</w:t>
      </w:r>
    </w:p>
    <w:p>
      <w:r>
        <w:rPr>
          <w:b/>
        </w:rPr>
        <w:t>E. 2</w:t>
      </w:r>
    </w:p>
    <w:p>
      <w:r>
        <w:t>Le litige a pour objet le droit du demandeur au versement d’un montant de 149'441 fr. 65 correspondant au préjudice résultant de l’absence de remboursement d’un versement anticipé et d’un montant d’un compte de préfinancement qui lui a été refusé, en raison du manque d’information reçue par la défenderesse.</w:t>
      </w:r>
    </w:p>
    <w:p>
      <w:r>
        <w:rPr>
          <w:b/>
        </w:rPr>
        <w:t>E. 3</w:t>
      </w:r>
    </w:p>
    <w:p>
      <w:r>
        <w:t>a) Selon l’art. 51 a al. 2 let. h LPP, l’organe suprême de l’institution de prévoyance doit notamment garantir l’information des assurés. En vertu de l'art. 65a LPP, les institutions de prévoyance doivent respecter le principe de la transparence dans la réglementation de leur système des cotisations, de leur financement, du placement du capital et de leur comptabilité (al. 1). La transparence implique que : (a) la situation financière effective de l'institution de prévoyance apparaisse ; (b) la sécurité de la réalisation des buts de prévoyance puisse être prouvée ; (c) l'organe paritaire de l'institution de prévoyance soit en mesure d'assumer ses tâches de gestion ; (d) les obligations d'informations à l'égard des assurés puissent être exécutées (al. 2). Les institutions de prévoyance doivent être en mesure de fournir des informations sur le rendement du capital, l'évolution du risque actuariel, les frais d'administration, les principes du calcul du capital de couverture, les provisions supplémentaires et le degré de couverture (al. 3). Le Conseil fédéral édicte les dispositions sur la manière dont cette information doit être étendue, sans dépenses excessives à la caisse de pensions affiliée (al. 4). b) Selon le système légal, le devoir d'information des assurés incombe à l'institution de prévoyance et est réglé à l'art. 86 b LPP. D'après cette disposition, l'institution de prévoyance renseigne chaque année ses assurés de manière adéquate sur : (a) leurs droits aux prestations, le salaire coordonné, le taux de cotisation et l'avoir de vieillesse ; (b) l'organisation et le financement; (c) les membres de l'organe paritaire selon l'art. 51 LPP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Le droit des assurés d'obtenir des renseignements sur leur situation individuelle est ainsi complété par l'obligation faite aux institutions de prévoyance de leur remettre, sur demande, les comptes et le rapport annuels ainsi que tout autre renseignement relatif à la situation financière de l'institution de prévoyance. Le devoir d'information consacré par l’art. 86 b al. 2 LPP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 er mars 2001 ; FF 2000 2495, 2536 ; voir également ATF 136 V 331 consid. 4.2). c) Le demandeur soutient que la défenderesse a omis de le renseigner correctement lors de l’adoption de la nouvelle législation cantonale qui la régissait. Elle ne l’a pas du tout averti de la nécessité pour lui de rembourser avant le 1 er janvier 2014 (date d’entrée en vigueur de la nouvelle réglementation), le versement anticipé obtenu à fin 2010, afin d’alimenter un compte de préfinancement de retraite, une création de la nouvelle réglementation dont il aurait pu bénéficier. Le demandeur fait valoir que, dès avant la demande de versement anticipé, et de manière continue par la suite, il a toujours été très attentif à la question de savoir comment obtenir à la retraite une pension au taux maximal possible pour lui. Au cours des différentes modifications des normes ayant des conséquences sur la Caisse de pensions L.________ et les droits des assurés, le demandeur n’est jamais resté passif et s’est toujours enquis de manière proactive sur les répercussions sur sa situation de prévoyance personnelle. Il s’est même davantage informé à partir du moment où il a eu recours au versement anticipé. Par ailleurs, la Caisse de pensions L.________ a toujours indiqué à l’assuré – et cela même après l’entrée en vigueur du nouveau règlement au 1 er janvier 2014 – qu’il contribuerait à récupérer sa pension maximale ensuite du versement anticipé, par un allongement de sa période d’activité (et donc de ses cotisations) sur quelques années, ce qui était d’ailleurs l’objectif poursuivi. Ainsi, nulle information générale suffisante n’a été délivrée, y compris à l’occasion du changement législatif, notamment par l’envoi du 5 août 2013, le cas de figure du versement anticipé n’étant même pas relevé. Au contraire, il était souligné que des mesures compensatoires garantiraient les pleins droits et une totale compensation aux assurés. Même lors de la réponse de la Caisse de pensions L.________ du 18 décembre 2013 à une interpellation de l’assuré, il était renvoyé à février 2014, soit après l’entrée en vigueur du nouveau règlement, pour traiter certaines questions, notamment celle du remboursement du versement anticipé, dès lors que les outils de gestion n’étaient pas encore en place. c) En l’espèce, il y a lieu de considérer ce qui suit. aa) A titre liminaire, il faut souligner, à l’instar de la défenderesse, que la revendication du demandeur n’a pas de rapport direct avec l’information qui ne lui aurait soi-disant pas été fournie à tort en 2013, soit les conséquences de l’absence de remboursement de son versement anticipé. En effet, même si le demandeur avait remboursé à fin 2013 le montant correspondant au versement anticipé dont il a bénéficié en 2010, il n’aurait pas été replacé dans la situation qui aurait prévalu s’il n’avait pas du tout touché ce versement anticipé. En effet, jusqu’à fin 2013, le remboursement du versement anticipé était affecté, dans tous les cas, au rachat d’années d’assurance. Or, le rachat d’années d’assurance tenait compte de l’âge de l’assuré et du salaire assuré au moment du remboursement anticipé. Par conséquent, les droits obtenus par le remboursement du versement anticipé ne pouvaient pas remettre le demandeur dans la même situation qu’avant le versement anticipé, du fait de l’évolution du tarif de rachat et du salaire assuré entre les deux opérations. bb) S’agissant plus particulièrement du devoir d’information de la défenderesse, il ne ressort pas des échanges de courriers que le demandeur aurait envisagé de rembourser ce versement anticipé en 2013, en particulier dans son courriel du 9 décembre 2013, à l’appui duquel l’intéressé s’est contenté de demander le montant exact du rachat pour le solde du prélèvement effectué en 2010 et le montant de la rente mensuelle après le remboursement total du prélèvement en question. En l’absence de demande claire à ce propos, on ne saurait reprocher à la défenderesse d’avoir manqué à ses obligations de répondre à des questions concernant le remboursement du versement anticipé envisagé pour 2013. La Caisse n’était dès lors pas tenue de signaler spontanément au demandeur de quelle façon il bénéficierait des mesures transitoires et compensatoires accompagnant l’entrée en vigueur du nouveau plan d’assurance au 1 er janvier 2014, dans l’hypothèse où il rembourserait son versement anticipé avant cette date. Comme le souligne à juste titre la défenderesse, il n’appartient pas à l’institution de prévoyance de procéder à un examen individuel de la situation de chaque assuré, pour indiquer spontanément à celui-ci quelles options il devrait prendre en matière de rachat, de remboursement de versement anticipé, de choix de date de retraite, etc., soit de procéder à une optimisation de sa prévoyance professionnelle, sachant au demeurant qu’une telle optimisation peut également dépendre de facteurs inconnus de l’institution de prévoyance (état de la prévoyance professionnelle des autres membres de la famille, état de fortune, situation fiscale etc.). Au vu de ce qui précède, ce grief doit être écarté.</w:t>
      </w:r>
    </w:p>
    <w:p>
      <w:r>
        <w:rPr>
          <w:b/>
        </w:rPr>
        <w:t>E. 4</w:t>
      </w:r>
    </w:p>
    <w:p>
      <w:r>
        <w:t>Dans un autre moyen, le demandeur se prévaut de la protection de sa bonne foi. a)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(TF 9C_721/2009 du 20 avril 2010 consid.</w:t>
      </w:r>
    </w:p>
    <w:p>
      <w:r>
        <w:rPr>
          <w:b/>
        </w:rPr>
        <w:t>E. 4.3</w:t>
      </w:r>
    </w:p>
    <w:p>
      <w:r>
        <w:t>et les références citées). b) En l’occurrence, le demandeur reproche en particulier à la défenderesse de ne pas l’avoir informé de la nécessité de rembourser jusqu’au 31 décembre 2013, le versement anticipé dont il a bénéficié en 2010, pour bénéficier des mesures transitoires prévues en lien avec le changement de réglementation entré en vigueur au 1 er janvier 2014. S’il avait effectué ce remboursement, le demandeur soutient qu’il aurait pu bénéficier d’un compte de préfinancement de retraite d’un montant de CHF 205'858.- au 1 er janvier 2014, donnant droit au 30 juin 2016 au remboursement d’un solde du compte de préfinancement de CHF 146'831.80 et à une compensation retraite de CHF 308.45 par mois. c) On constate que le demandeur n’a pas souffert du soi-disant défaut d’information qu’il invoque, autrement dit que ce n’est pas un tel défaut d’information qui l’a amené à renoncer à rembourser à son institution de prévoyance le versement anticipé dont il avait bénéficié en 2013. En effet, quoiqu’ayant demandé et obtenu un calcul qui indiquait la possibilité d’obtenir une rente mensuelle supplémentaire de Fr. 292.70 en remboursant le versement anticipé de Fr. 61'338.- le 1 er septembre 2015 et en prenant sa retraite le 1 er juillet 2017, le demandeur n’a finalement remboursé ce montant ni le 1 er septembre ni postérieurement – il aurait pu le faire jusqu’au moment de sa retraite le 1 er juillet 2017. De même, le demandeur n’a pas donné suite à la possibilité de verser certains montants sur le compte de préfinancement, ce qu’il aurait également pu faire jusqu’à la date de sa retraite. Bien plus, le demandeur a en définitive choisi de toucher un capital d’un montant de Fr. 300'000.-, amputant sa rente de vieillesse d’environ un quart de sa valeur. Cela démontre que le demandeur n’avait en réalité aucune intention d’améliorer sa prévoyance professionnelle deuxième pilier en augmentant notamment le montant de sa rente. Si véritablement la volonté du demandeur avait été d’améliorer ses prestations de retraite, il aurait dû réduire le soi-disant préjudice qu’il invoque et augmenter autant que possible ces prestations, en remboursant le versement anticipé et en procédant à d’autres versements sur le compte de préfinancement même après le 31 décembre 2013. Or, il n’en a rien fait et a au contraire confirmé sa volonté de gérer lui-même une part notable de sa fortune pendant sa retraite, en sollicitant un capital important. Finalement, le demandeur reproche à la défenderesse de ne pas l’avoir renseigné sur le fait qu’un versement anticipé retarde l’âge d’entrée dans la caisse et diminue donc le nombre d’années d’assurance. Force est de constater que le demandeur était au contraire renseigné sur la question puisque de son propre aveu, il a sollicité le versement anticipé pour réduire ses expectatives de prestations de retraite pour pouvoir travailler plus longtemps au sein de l’[…]. Au vu des informations dont il disposait, le demandeur ne peut pas se prévaloir de sa bonne foi. Dans ces conditions, la position de la défenderesse ne prête pas le flanc à la critique.</w:t>
      </w:r>
    </w:p>
    <w:p>
      <w:r>
        <w:rPr>
          <w:b/>
        </w:rPr>
        <w:t>E. 5</w:t>
      </w:r>
    </w:p>
    <w:p>
      <w:r>
        <w:t>a) Mal fondée, la demande formée par Q.________ contre la Caisse de pensions L.________ doit par conséquent être rejetée. b) Il n’y a pas lieu de percevoir de frais judiciaires, la procédure étant gratuite (art. 73 al. 2 LPP), ni d’allouer des dépens dès lors que le demandeur n’obtient pas gain de cause (art. 55 al. 1 LPA-VD, par renvoi de l’art. 109 LPA-VD). c) Bien que la Caisse de pensions L.________ obtienne gain de cause, elle ne peut prétendre à des dépens de la part du demandeur. En effet, selon la jurisprudence, l’assurance sociale qui obtient gain de cause devant une juridiction de première instance n’a pas le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