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7/09 - 115/2009 vom 8. Dezember 2009</w:t>
      </w:r>
    </w:p>
    <w:p>
      <w:r>
        <w:t>VD Tribunal cantonal, 2009-12-08, FR</w:t>
      </w:r>
    </w:p>
    <w:p>
      <w:r>
        <w:rPr>
          <w:b/>
        </w:rPr>
        <w:t xml:space="preserve">Quelle: </w:t>
      </w:r>
      <w:r>
        <w:t>https://mcp.opencaselaw.ch/entscheid/vd_findinfo_PPD_7_09_-_115_2009</w:t>
      </w:r>
    </w:p>
    <w:p>
      <w:r>
        <w:t>FR: VD_FINDINFO PPD 7/09 - 115/2009 du 8 décembre 2009</w:t>
      </w:r>
    </w:p>
    <w:p>
      <w:r>
        <w:t>IT: VD_FINDINFO PPD 7/09 - 115/2009 del 8 dicembre 2009</w:t>
      </w:r>
    </w:p>
    <w:p>
      <w:pPr>
        <w:pStyle w:val="Heading2"/>
      </w:pPr>
      <w:r>
        <w:t>Regeste</w:t>
      </w:r>
    </w:p>
    <w:p>
      <w:r>
        <w:t>DIVORCE, PRÉVOYANCE PROFESSIONNELLE, PARTAGE{SENS GÉNÉRAL} | 122 al. 1 CC, 142 al. 2 CC, 22 LFLP</w:t>
      </w:r>
    </w:p>
    <w:p>
      <w:pPr>
        <w:pStyle w:val="Heading2"/>
      </w:pPr>
      <w:r>
        <w:t>Erwägungen</w:t>
      </w:r>
    </w:p>
    <w:p>
      <w:r>
        <w:rPr>
          <w:b/>
        </w:rPr>
        <w:t>E. 1</w:t>
      </w:r>
    </w:p>
    <w:p>
      <w:r>
        <w:t>S'agissant de l'ex-époux, O.________ a indiqué, le 29 avril 2009, que la prestation de libre passage acquise au jour du mariage lui était inconnue. En revanche, elle avait reçu par la suite trois prestations de libre passage : la première de X.________ (9'040 fr., valeur 1.7.03), la seconde de M.________ (ci-après : M.________) (6'155 fr. 60, valeur 8.8.03) et la troisième acquise à la date de résiliation du contrat conclu entre O.________ et l'ancien employeur de l'ex-époux (46'069 fr. 50, valeur 30.4.08). La prestation de libre passage au jour du divorce le 17 mars 2009 était de 46'723 fr. 75. L'institution de prévoyance a précisé que le taux d'intérêt technique était de 4 % jusqu'au 31.12.2002, 3.25 % dès le 1.1.2003, 2.25 % dès le 1.1.2004, 2.5 % dès le 1.1.2005, 2.75 % dès le 1.1.2008 et 2 % dès le 1.1.2009; l'intérêt sur la police de libre passage no 463274 était de 1.65 % dès le 1.5.2008 et de 1.5 % dès le 1.1.2009. Le 20 mai 2009, M.________ a informé que B.N.________ était inconnu de son agence. Par lettre du 5 juin 2009, la B.________ a signalé que la prestation de libre passage acquise de 16'085 fr. l'avait été avant le mariage du 22 février 2002 et que le montant de 9'040 fr. correspondait à la prestation de libre passage acquise lors de sa sortie, en date du 31 janvier 2001, de l'institution de prévoyance LPP de X.________ à la O.________. Le 19 novembre 2009, O.________ a expliqué que le taux d'intérêt sur la police de libre passage était inférieur aux normes légales fixées par la LPP (loi fédérale du 25 juin 1982 sur la prévoyance professionnelle vieillesse, survivants et invalidité, RS 831.40), car il s'agissait d'une police de libre passage établie par la caisse lors de la dissolution des rapports de travail, lorsque le salarié concerné (s'il n'était pas au bénéfice de prestations) n'avait pas de nouvel employeur ou n'indiquait pas les coordonnées de sa nouvelle caisse. On était donc en présence d'un cas de prévoyance « passive » dont les droits et obligations des parties contractantes étaient fixés dans les conditions générales d'un contrat d'assurance qui ne dépendait plus exclusivement de la LPP, comme cela était le cas dans la prévoyance « active », mais de la loi fédérale sur le contrat d'assurance (LCA, RS 221.229.1). En outre, elle avait appris que l'ex-époux avait quitté son ancien employeur au 30 juin 2007, ce qui avait conduit à l'ouverture d'une nouvelle police de libre passage no 465135 se montant à 40'531 francs. Le total de la prestation de libre passage au jour du divorce s'élevait désormais à 42'070 fr. 40. L'institution de prévoyance a en outre confirmé le caractère réalisable d'un partage. Invité à se déterminer sur les écritures précitées, B.N.________ n'a pas répondu.</w:t>
      </w:r>
    </w:p>
    <w:p>
      <w:r>
        <w:rPr>
          <w:b/>
        </w:rPr>
        <w:t>E. 2</w:t>
      </w:r>
    </w:p>
    <w:p>
      <w:r>
        <w:t>Selon l'art. 22 LFLP, en cas de divorce, les prestations de sortie acquises durant le mariage sont partagées conformément aux art. 122, 123, 141 et 142 du code civil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Aux termes de l'art. 122 CC (code civil suisse du 10 décembre 1907, RS 210),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L'instruction a permis d'établir que seul l'ex-époux bénéficiait d'un avoir de prévoyance. La prestation acquise auprès de B.________ l'a été manifestement avant le mariage et la prestation de libre passage acquise au jour du mariage est inconnue de l'institution O.________. La B.________ a indiqué que le montant de 9'040 fr. correspondait à une prestation de libre passage acquise lors de sa sortie de la X.________ le 31 janvier 2001, soit avant le mariage du 22 février 2002, et versée à O.________. Il résulte également du relevé de compte produit par O.________ qu'un montant de 2'516 fr. 35 figurait avant le mariage sur le compte de libre passage de l'ex-époux auprès de M.________. Partant, les montants de 9'040 fr. et 2'516 fr. 35 doivent être déduits de la prestation de sortie de 42'070 fr. 40 au jour du divorce. Le montant total de l'avoir de prévoyance acquis durant le mariage est ainsi de 30'514 fr. 05 (42'070 fr. 40 - 9'040 fr. - 2'516 fr. 35), dont la moitié doit être versée sur la police de libre passage [...] des R.________ de l'ex-épouse, soit 15'257 francs.</w:t>
      </w:r>
    </w:p>
    <w:p>
      <w:r>
        <w:rPr>
          <w:b/>
        </w:rPr>
        <w:t>E. 3</w:t>
      </w:r>
    </w:p>
    <w:p>
      <w:r>
        <w:t>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Les institutions de prévoyance dites « enveloppantes »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 Schattenrechnung », Carl Helbling, Personalvorsorge und BVG, Berne 2000,</w:t>
      </w:r>
    </w:p>
    <w:p>
      <w:r>
        <w:rPr>
          <w:b/>
        </w:rPr>
        <w:t>E. 7</w:t>
      </w:r>
    </w:p>
    <w:p>
      <w:r>
        <w:t>ème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Aux termes des conditions générales de la police de libre passage de l'institution O.________, la rémunération annuelle minimum est égale à 60 % du taux d'intérêt LPP en vigueur, fixé par le Conseil fédéral dans le cadre de la prévoyance professionnelle obligatoire. En l'espèce, O.________ a indiqué qu'une police de libre passage était établie lors de la dissolution des rapports de travail, lorsque le salarié concerné n'avait pas de nouvel employeur ou n'indiquait pas les coordonnées de sa nouvelle caisse. S'agissant dès lors d'un cas de prévoyance « passive », il convenait d'appliquer le taux d'intérêt fixé par l'art. 1 des conditions générales de la police de libre passage. Par conséquent, le taux de l'intérêt compensatoire payable sur le montant que doit transférer O.________ (15'257 fr.) est de 1,5 % l'an dès le 17 mars 2009 jusqu'au moment du transfert sur le compte de A.N.________ auprès des R.________ ou de la demeure. b) Selon l'art. 7 OLP, le taux de l'intérêt moratoire correspond au taux d'intérêt minimal fixé dans la LPP - soit 2 %  à partir du 1 er janvier 2009 à teneur de l'art. 12 let. f OPP 2 - augmenté de 1 %. En cas de retard de versement, un intérêt moratoire sera dû dès le 31 ème jour suivant l'entrée en force du présent jugement (ATF 129 V 251 consid. 5). Dans le cas particulier, en cas de demeure, O.________ sera débitrice d'un intérêt moratoire d'au moins 3 % l'an, en sus du montant à transférer (15'257 fr.) augmenté de l'intérêt compensatoire, sous réserve d'un taux supérieur prévu par le règlement de l'institution de prévoyance. Par ces motifs, la juge unique : I. Ordonne à O.________ de débiter le compte de B.N.________ (compte n° 465135, n° AVS 750.59.431.000) de la somme de 15'257 fr., avec intérêts compensatoires à un taux de 1.5 % l'an dès le 17 mars 2009 jusqu'au jour du transfert ou de la demeure, et de verser ce montant sur le compte de A.N.________ ouvert auprès des R.________. II. Dit qu'en cas de retard dans le transfert de la prestation de libre passage, un intérêt moratoire sera dû à un taux d'au moins 3 % l'an à partir du 31 ème jour suivant l'entrée en force du présent jugement ou, en cas de recours au Tribunal fédéral, dès que ce tribunal aura statué définitivement sur le recours. La juge unique : La greffière : Du L'arrêt qui précède est notifié à : ‑      Me Yves Hofstetter, avocat (pour A.N.________) ‑ B.N.________ ‑ O.________ ‑ R.________ ‑      Tribunal d'arrondissement de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