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13/11 - 41/2012 vom 9. November 2012</w:t>
      </w:r>
    </w:p>
    <w:p>
      <w:r>
        <w:t>VD Tribunal cantonal, 2012-11-09, FR</w:t>
      </w:r>
    </w:p>
    <w:p>
      <w:r>
        <w:rPr>
          <w:b/>
        </w:rPr>
        <w:t xml:space="preserve">Quelle: </w:t>
      </w:r>
      <w:r>
        <w:t>https://mcp.opencaselaw.ch/entscheid/vd_findinfo_PPD_13_11_-_41_2012</w:t>
      </w:r>
    </w:p>
    <w:p>
      <w:r>
        <w:t>FR: VD_FINDINFO PPD 13/11 - 41/2012 du 9 novembre 2012</w:t>
      </w:r>
    </w:p>
    <w:p>
      <w:r>
        <w:t>IT: VD_FINDINFO PPD 13/11 - 41/2012 del 9 novembre 2012</w:t>
      </w:r>
    </w:p>
    <w:p>
      <w:pPr>
        <w:pStyle w:val="Heading2"/>
      </w:pPr>
      <w:r>
        <w:t>Regeste</w:t>
      </w:r>
    </w:p>
    <w:p>
      <w:r>
        <w:t>PRÉVOYANCE PROFESSIONNELLE, DIVORCE, PROCÈS DEVENU SANS OBJET, RADIATION DU RÔLE | 94 al. 1 let. c LPA-VD</w:t>
      </w:r>
    </w:p>
    <w:p>
      <w:pPr>
        <w:pStyle w:val="Heading2"/>
      </w:pPr>
      <w:r>
        <w:t>Erwägungen</w:t>
      </w:r>
    </w:p>
    <w:p>
      <w:r>
        <w:rPr>
          <w:b/>
        </w:rPr>
        <w:t>E. 28</w:t>
      </w:r>
    </w:p>
    <w:p>
      <w:r>
        <w:t>octobre 2008 sur la procédure administrative; RSV 173.36) est applicable, Par ces motifs, le juge unique prononce : I. La cause est rayée du rôle. II. Il n’est pas perçu de frais de justice ni alloué de dépens. Le juge unique :               La greffière : Du La décision qui précède est notifiée à : ‑ Me Muriel Vautier (pour B.E.________), - Me Marcel Heider (pour A.E.________), - Fonds de pensions C.________, ‑ Office fédéral des assurances sociales, et communiqué au: - Tribunal d'arrondissement de Lausanne,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