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62/23 - 44/2025 vom 19. September 2025</w:t>
      </w:r>
    </w:p>
    <w:p>
      <w:r>
        <w:t>VD Tribunal cantonal, 2025-09-19, FR</w:t>
      </w:r>
    </w:p>
    <w:p>
      <w:r>
        <w:rPr>
          <w:b/>
        </w:rPr>
        <w:t xml:space="preserve">Quelle: </w:t>
      </w:r>
      <w:r>
        <w:t>https://mcp.opencaselaw.ch/entscheid/vd_findinfo_PC_62_23_-_44_2025___________</w:t>
      </w:r>
    </w:p>
    <w:p>
      <w:r>
        <w:t>FR: VD_FINDINFO PC 62/23 - 44/2025 du 19 septembre 2025</w:t>
      </w:r>
    </w:p>
    <w:p>
      <w:r>
        <w:t>IT: VD_FINDINFO PC 62/23 - 44/2025 del 19 settembre 2025</w:t>
      </w:r>
    </w:p>
    <w:p>
      <w:pPr>
        <w:pStyle w:val="Heading2"/>
      </w:pPr>
      <w:r>
        <w:t>Regeste</w:t>
      </w:r>
    </w:p>
    <w:p>
      <w:r>
        <w:t>PC, RESTITUTION{EN GÉNÉRAL}, PERCEPTION DE PRESTATION, REJET DE LA DEMANDE, VIOLATION DE L'OBLIGATION D'ANNONCER | 31 al. 1 let. d LPC, 25 LPGA, 30 LPGA, 31 al. 1 LPGA, 25 al. 2 let. d OPC-AVS/AI</w:t>
      </w:r>
    </w:p>
    <w:p>
      <w:pPr>
        <w:pStyle w:val="Heading2"/>
      </w:pPr>
      <w:r>
        <w:t>Erwägungen</w:t>
      </w:r>
    </w:p>
    <w:p>
      <w:r>
        <w:rPr>
          <w:b/>
        </w:rPr>
        <w:t>E. 1</w:t>
      </w:r>
    </w:p>
    <w:p>
      <w:r>
        <w:t>let. d CP). De son côté, après avoir eu connaissance du fait nouveau important annoncé le 6 décembre 2022, l’intimée a rendu ses décisions en restitution des prestations indues le 20 janvier 2023 moins de trois ans après avoir eu connaissance des faits (cf. art. 25 al. 2 LPGA). c) L’intimée était donc fondée à ordonner la restitution par les recourants des prestations complémentaires versées à tort depuis le 1 er février 2016. 8. Les montants de 11'000 fr. et 6'833 fr. portés en restitution ne sont pas contestés dans leur quotité dans le cadre de la présente procédure et correspondent effectivement à la différence des prestations complémentaires touchées par les recourants et celles auxquelles ils avaient droit entre le 1 er février 2016 et le 31 janvier 2023. Vérifiés d’office, les deux chiffres précités peuvent donc être confirmés. 9. C’est par conséquent à juste titre que la CCVD a réclamé à B.Z.________ la restitution d’un montant de 11’000 fr. et à A.Z.________ la restitution d’un montant de 6'833 fr. au titre des prestations complémentaires touchées à tort par ceux-ci pour la période du 1 er février 2016 au 31 janvier 2023. 10. Dans leur acte de recours, B.Z.________ et A.Z.________ ont fait état de leur bonne foi et de leur situation financière précaire, qui ne sont pas relevant pour l’examen de la restitution en tant que telle, mais qui peuvent entrer en ligne de compte dans le cadre d’une procédure de remise (cf. art. 3 à 5 OPGA). L’art. 4 al. 4 OPGA prévoit que la demande de remise doit être présentée par écrit. Elle doit être motivée, accompagnée des pièces nécessaires et déposée au plus tard trente jours à compter de l’entrée en force de la décision de restitution. 11. a) En définitive, le recours, mal fondé, doit être rejeté et les décisions sur opposition attaquées confirmées. b) Il n’y a pas lieu de percevoir de frais judiciaires (art. 61 let. f bis LPGA), ni d’allouer de dépens aux recourants, qui n’obtiennent pas gain de cause (art. 61 let. g LPGA). Par ces motifs, la juge unique prononce : I. Le recours est rejeté. II. Les décisions sur opposition rendues le 2 octobre 2023 par la Caisse cantonale vaudoise de compensation AVS sont confirmées. III. Il n’est pas perçu de frais judiciaires, ni alloué de dépens. La juge unique :               Le greffier : Du L'arrêt qui précède est notifié à : ‑ COMPTAtrade Sàrl (pour A.Z.________ et B.Z.________),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