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17/18 - 24/2019 vom 5. Dezember 2019</w:t>
      </w:r>
    </w:p>
    <w:p>
      <w:r>
        <w:t>VD Tribunal cantonal, 2019-12-05, FR</w:t>
      </w:r>
    </w:p>
    <w:p>
      <w:r>
        <w:rPr>
          <w:b/>
        </w:rPr>
        <w:t xml:space="preserve">Quelle: </w:t>
      </w:r>
      <w:r>
        <w:t>https://mcp.opencaselaw.ch/entscheid/vd_findinfo_PC_17_18_-_24_2019</w:t>
      </w:r>
    </w:p>
    <w:p>
      <w:r>
        <w:t>FR: VD_FINDINFO PC 17/18 - 24/2019 du 5 décembre 2019</w:t>
      </w:r>
    </w:p>
    <w:p>
      <w:r>
        <w:t>IT: VD_FINDINFO PC 17/18 - 24/2019 del 5 dicembre 2019</w:t>
      </w:r>
    </w:p>
    <w:p>
      <w:pPr>
        <w:pStyle w:val="Heading2"/>
      </w:pPr>
      <w:r>
        <w:t>Regeste</w:t>
      </w:r>
    </w:p>
    <w:p>
      <w:r>
        <w:t>RESTITUTION{EN GÉNÉRAL}, PRESTATION D'ASSURANCE INDUE, PÉREMPTION, DÉLAI, PRÉTENTION FRAUDULEUSE ENVERS L'ASSUREUR | 4 al. 1 let. a LPC, 9 al. 1 LPC, 25 LPGA</w:t>
      </w:r>
    </w:p>
    <w:p>
      <w:pPr>
        <w:pStyle w:val="Heading2"/>
      </w:pPr>
      <w:r>
        <w:t>Erwägungen</w:t>
      </w:r>
    </w:p>
    <w:p>
      <w:r>
        <w:rPr>
          <w:b/>
        </w:rPr>
        <w:t>E. 5</w:t>
      </w:r>
    </w:p>
    <w:p>
      <w:r>
        <w:t>a) Selon l’art. 4 al. 1 let. a LPC, les personnes qui ont leur domicile et leur résidence habituelle en Suisse ont droit à des prestations complémentaires dès lors qu’elles perçoivent une rente de vieillesse de l’assurance-vieillesse et survivants. b) Le montant de la prestation complémentaire annuelle correspond, en vertu de l’art. 9 al. 1 LPC, à la part des dépenses reconnues (art. 10 LPC) qui excède les revenus déterminants (art. 11 LPC). c) Aux termes de l’art. 11 al. 1 let. c LPC, les revenus déterminants pour calculer le montant de la prestation complémentaire annuelle comprennent notamment un quinzième de la fortune nette ou un dixième pour les bénéficiaires de rentes de vieillesse, dans la mesure où elle dépasse 37’500 fr. pour les personnes seules, 60’000 fr. pour les couples et 15’000 fr. pour les orphelins et les enfants donnant droit à des rentes pour enfants de l’assurance-vieillesse et survivants ou de l’assurance-invalidité. d) La part à une succession non partagée doit être prise en compte comme élément de fortune pour calculer le montant de la prestation complémentaire annuelle, et ce dès l’ouverture de la succession (art. 560 al. 1 CC), soit au décès du de cujus (cf. art. 537 al. 1 CC). Le fait de rencontrer des difficultés pour procéder au partage ne justifie pas de déroger à cette règle. Pour autant, la prise en compte de la part d’une succession non partagée ne peut avoir lieu que lorsqu’il est possible de déterminer avec clarté l’étendue de cette part ou, dans l’hypothèse où cette part ne peut pas être chiffrée de manière exacte, lorsqu’il est possible, compte tenu de l’ensemble des éléments de fait et de droit, d’exclure avec certitude un droit à des prestations complémentaires. Par « part à une succession non partagée », il faut entendre la part à laquelle peut prétendre l’héritier concerné au moment de la dissolution de la communauté héréditaire et de la liquidation du patrimoine commun. La clarté sur l’étendue de la part successorale présuppose – outre les principaux actifs et passifs concernés – que tous les héritiers ainsi que leur part respective à la succession soient connus (TF 9C_447/2016 du 1 er mars 2017 consid. 4.2.2 ; TF 9C_999/2009 du 7 juin 2010 consid. 1.1).</w:t>
      </w:r>
    </w:p>
    <w:p>
      <w:r>
        <w:rPr>
          <w:b/>
        </w:rPr>
        <w:t>E. 6</w:t>
      </w:r>
    </w:p>
    <w:p>
      <w:r>
        <w:t>a) Aux termes de l’art. 25 al. 1, première phrase, LPGA, les prestations indûment touchées doivent être restituées. b)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(ATF 130 V 318 consid. 5.2 et les références citées). aa)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citées ; TF 9C_371/2008 du 2 février 2009 consid. 2.3). bb)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TF I 907/06 du 7 mai 2007 consid. 3.2.1).</w:t>
      </w:r>
    </w:p>
    <w:p>
      <w:r>
        <w:rPr>
          <w:b/>
        </w:rPr>
        <w:t>E. 7</w:t>
      </w:r>
    </w:p>
    <w:p>
      <w:r>
        <w:t>a) Aux termes de l’art. 25 al. 2 LPGA,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 Il s’agit de délais (relatif et absolu) de péremption, qui doivent être examinés d’office (ATF 133 V 579 consid. 4.1 ; 119 V 431 consid. 3a).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Le juge est néanmoins lié par une condamnation pénale, de même que par un prononcé libératoire constatant l’absence d’acte punissable (ATF 138 V 74 consid. 6.1 ; 118 V 193 consid. 4a ; cf. également TF 8C_592/2007 du 20 août 2008 consid. 5.3 et les références citées). c) Lorsqu’il y a lieu de décider si la créance en restitution dérive d’un acte punissable soumis par les lois pénales à une prescription de plus longue durée, le degré de la preuve requis est celui qui prévaut en procédure pénale ;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les références citées). d) En matière de prestations complémentaires, ce sont principalement les infractions réprimées aux art. 146 CP (escroquerie) et 31 LPC (manquement à l’obligation de communiquer) qui entrent en considération au titre d’infractions pouvant impliquer l’application d’un délai de péremption plus long, étant précisé que l’art. 148a CP (obtention illicite de prestations d’une assurance sociale ou de l’aide sociale) n’est pas déterminant en l’espèce, dans la mesure où cette disposition est entrée en vigueur le 1 er octobre 2016 et, partant, est postérieure aux agissements reprochés à la recourante. aa) aaa) Conformément à l’art. 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bbb)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 140 IV 11 consid. 2.3.2). ccc)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En matière d’assurances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à traiter, une négligence ne peut être reprochée à l’autorité lorsque les pièces ne contiennent pas d’indice quant à des revenus ou à des éléments de fortune non déclarés ou qu’il est prévisible qu’elles n’en contiennent pas (TF 6B_496/2015 du 6 avril 2016 consid. 2.2.2 ; 6B_22/2011 du 23 mai 2011 consid. 2.1.2 et les références citées). ddd)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6B_1115/2014 du 28 août 2015 consid. 2.1.3 et les références citées). eee)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 140 IV 11 consid. 2.4.1 et 2.4.6 in fine ; cf. également TF 6B_791/2013 du 3 mars 2014 consid. 3.1.1 ; imprécis sur cette question, TF 9C_232/2013 du 13 décembre 2013 consid. 4.1.3). fff) Malgré l’importance que revêt l’établissement des faits dans le cadre de litiges assécurologiques et le rôle que joue dans ce contexte le devoir – légal ou contractuel – de communiquer toute modification importante des circonstances déterminantes en tant qu’aspect de l’obligation de collaborer, ce devoir ne confère pas un statut juridique particulier au bénéficiaire qui le contraindrait à protéger d’une atteinte ou d’une mise en danger le patrimoine de l’assureur (public ou privé). C’est à l’assureur qu’il appartient en premier lieu de veiller à la sauvegarde de son patrimoine ; cette obligation n’est pas transférée au bénéficiaire du fait de l’existence d’un devoir d’annoncer. La seule responsabilité qui incombe au bénéficiaire est de veiller à ne pas porter lui-même préjudice à l’assureur, ce qui a pour corollaire le devoir d’annoncer toute modification des circonstances déterminantes pour le droit aux prestations ; la loi ne lui impose pas d’obligation plus étendue. L’obligation d’annoncer toute modification des circonstances déterminantes est l’expression du principe de la bonne foi entre administration et administré ; les devoirs résultant de l’application de ce principe constitutionnel ne suffisent pas à fonder une position de garant de l’assuré à l’égard de l’assureur (ATF 140 IV 206 consid. 6.3.1.4 ; 140 IV 11 consid. 2.4.5 et les références citées). bb) aaa) 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bbb) Par le biais des dispositions pénales figurant dans les diverses lois d’assurances sociales (cf. également l’art. 87 al. 5 LAVS [loi fédérale du 20 décembre 1946 sur l’assurance-vieillesse et survivants ; RS 831.10], ainsi que les art. 70 LAI [loi fédérale du 19 juin 1959 sur l’assurance-invalidité ; RS 831.20], 25 LAPG [loi fédérale du 25 septembre 1952 sur les allocations pour perte de gain en cas de service et de maternité ; RS 834.1] et 23 LAFam [loi fédérale du 24 mars 2006 sur les allocations familiales ; RS 836.2],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 140 V 11 consid. 2.4.6).</w:t>
      </w:r>
    </w:p>
    <w:p>
      <w:r>
        <w:rPr>
          <w:b/>
        </w:rPr>
        <w:t>E. 8</w:t>
      </w:r>
    </w:p>
    <w:p>
      <w:r>
        <w:t>En l’occurrence, il ressort aussi bien de la demande de prestations complémentaires déposée le 3 septembre 2007 que du questionnaire rempli le 28 novembre 2012 dans le cadre de la révision quadriennale de son dossier que la recourante n’a pas déclaré à l’intimée qu’elle était membre d’une succession non partagée depuis 1985, respectivement qu’elle avait hérité d’un montant important en 2011. Ce n’est que dans la cadre de la révision quadriennale de son dossier initiée au mois de mai 2017 que ces faits ont été découverts. Or la dissimulation de ces éléments de fortune constitue indéniablement un fait nouveau important au sens de l’art. 53 al. 1 LPGA. La fortune de la personne assurée est en effet un élément qui influe de manière notable l’octroi – cas échéant le montant – des prestations complémentaires (art. 11 al. 1 let. c LPC ; cf. supra consid. 5c). C’est donc à bon droit que l’intimée a, sur le principe, procédé à la révision procédurale des décisions d’octroi des prestations complémentaires erronées et, partant, exigé la restitution des prestations indûment perçues.</w:t>
      </w:r>
    </w:p>
    <w:p>
      <w:r>
        <w:rPr>
          <w:b/>
        </w:rPr>
        <w:t>E. 9</w:t>
      </w:r>
    </w:p>
    <w:p>
      <w:r>
        <w:t>a) B.________, mère de la recourante, a joui de l’usufruit viager sur la succession de son mari depuis le jour du décès de ce dernier, le 7 août 1985, jusqu’au jour de son propre décès, le 27 décembre 2007. L’usufruit confère à son titulaire le droit d’usage et de jouissance sur la chose grevée. Dans la mesure où celui-ci est toutefois limité à la jouissance, l’usufruitier ne peut pas, comme dans le cas de la propriété, disposer de la chose, ni en droit ni en fait (art. 745 ss CC). Il s’ensuit qu’un élément de fortune grevé d’un usufruit ne doit pas être pris en compte dans la fortune de l’usufruitier. De même, il ne saurait être pris en compte dans la fortune du nu-propriétaire, car cela reviendrait à comptabiliser un revenu que le nu-propriétaire ne peut pas revendiquer en raison des droits conférés à l’usufruitier (ATF 122 V 394 consid. 6a). Dans ces conditions, il n’y a pas lieu de tenir compte de la part que la recourante pouvait prétendre à la succession de son père jusqu’au 27 décembre 2007, dès lors qu’elle n’était pas en mesure d’en disposer. b) De même, la prise en considération de la part à une succession non partagée ne peut avoir lieu que lorsque l’étendue de cette part a pu être déterminée de façon claire (cf. supra consid. 5d). Or il ressort des pièces au dossier, en particulier des pages 4 et 5 du document intitulé « Partage transactionnel de la succession de M. A.________ », que le partage de la succession a été retardé en raison d’un profond désaccord au sein de l’hoirie et que le montant des parts respectives des héritiers de A.________ n’a été formellement constaté que par acte notarié du 4 octobre 2010. Aussi convient-il de retenir que ce n’est qu’à compter de cette date qu’il était possible d’imputer à la fortune de la recourante une part de la succession non partagée de son père.</w:t>
      </w:r>
    </w:p>
    <w:p>
      <w:r>
        <w:rPr>
          <w:b/>
        </w:rPr>
        <w:t>E. 10</w:t>
      </w:r>
    </w:p>
    <w:p>
      <w:r>
        <w:t>S’agissant du délai de péremption absolu applicable à la demande de restitution, l’intimée a considéré que le comportement de la recourante réalisait les éléments objectifs et subjectifs d’une escroquerie. a) En premier lieu, il convient de relever, s’agissant du comportement ayant consisté pour la recourante à ne pas déclarer, dans le cadre de la demande de prestations complémentaires déposée le 3 septembre 2007, être membre d’une succession non partagée depuis 1985, que l’un des éléments objectifs de l’infraction d’escroquerie n’est pas réalisé. Dans la mesure où il a été constaté précédemment que la part à la succession non partagée de A.________ ne pouvait être imputée sur la fortune de la recourante qu’à compter du 4 octobre 2010, la connaissance de ces circonstances n’auraient pas conduit l’intimée à refuser d’allouer des prestations complémentaires. b) En ce qui concerne le questionnaire rempli le 28 novembre 2012 dans le cadre de la révision quadriennale du dossier de la recourante, il y a lieu de constater, sur le plan objectif, l’existence d’un comportement actif de tromperie visant à dissimuler des informations pertinentes pour l’examen du droit aux prestations complémentaires et à induire en erreur l’intimée. Dans la mesure où cette dernière n’avait aucune raison, faute d’indices, de se douter que la recourante dissimulait des éléments de fortune et de procéder à des vérifications complémentaires, la condition de l’astuce est également réalisée. c) En apposant sa signature sur le questionnaire destiné à la révision quadriennale de son dossier, sans déclarer qu’elle était membre d’une succession non partagée depuis 1985, respectivement qu’elle avait hérité d’un montant important en 2011, la recourante a adopté un comportement qui ne relève pas d’une simple négligence. En effet, les faits de ne pas répondre correctement aux questions posées et de taire l’existence d’un compte bancaire sur lequel avaient été déposés les montants touchés à titre d’héritage doivent être appréciés comme étant constitutifs d’une tromperie par commission, dès lors que ledit questionnaire constituait une invitation explicite à faire état de sa situation patrimoniale. Même en admettant – comme prétendu dans le recours – que ledit questionnaire a été complété par une assistante sociale et que la recourante ne l’a pas relu avant de le signer, il n’y a aucun doute sur le fait qu’il a été complété en la présence et avec la collaboration active de la recourante. Les informations figurant dans le questionnaire correspondent par conséquent aux réponses que la recourante a données à son assistante sociale. Ce faisant, la recourante ne pouvait ignorer que les renseignements donnés étaient incomplets et, en apposant sa signature au bas des documents tout en certifiant que les réponses données étaient complètes et conformes à la vérité, s’est ainsi accommodée du fait qu’elle pourrait toucher des prestations complémentaires auxquelles elle n’avait pas droit, commettant ainsi un acte à tout le moins par dol éventuel. Faute par ailleurs d’indice laissant penser que la capacité de discernement et de compréhension de la recourante était altérée à la fin de l’année 2012, elle ne saurait se prévaloir de son âge – 67 ans au moment de la révision quadriennale – ou de son état de santé pour tenter de s’exonérer en partie ou totalement de son comportement fautif. d) Sur le vu de ce qui précède, il convient de constater que la recourante réalise les éléments objectifs et subjectifs de l’infraction réprimée à l’art. 146 CP, le délai de péremption de plus longue durée prévu par le droit pénal, soit en l’occurrence quinze ans (art. 97 CP), est par conséquent applicable. e) Au vu des éléments figurant au dossier, il n’y a pas lieu de donner suite aux mesures d’instruction requises en cours de procédure. L’audition de la recourante ne modifierait pas, selon toute vraisemblance, l’appréciation qui précède, la Cour de céans ayant acquis la conviction qu’elle avait caché certains faits à son assistante sociale. De même n’est-il pas nécessaire de recueillir des renseignements médicaux auprès du W.________, puisqu’ils ne permettraient que de décrire l’état de santé actuel de la recourante, élément sans pertinence dans le cas d’espèce. Une telle mesure d’instruction se justifie d’autant moins que la recourante n’a jamais daigné préciser au cours de la procédure la nature des troubles dont elle était atteinte.</w:t>
      </w:r>
    </w:p>
    <w:p>
      <w:r>
        <w:rPr>
          <w:b/>
        </w:rPr>
        <w:t>E. 11</w:t>
      </w:r>
    </w:p>
    <w:p>
      <w:r>
        <w:t>Partant, il y a lieu de constater que l’intimée peut prétendre à la restitution des prestations complémentaires qu’elle a indûment versées à la recourante durant la période courant du 1 er novembre 2010 (cf. art. 12 al. 3 LPC) au 31 janvier 2018. a) Au cours de cette période, la recourante a, compte tenu du fait qu’aucune prestation n’a été versée entre les mois de juillet 2017 et janvier 2018, effectivement perçu la somme de 123’727 fr, montant auquel il convient de déduire la somme de 7’155 fr. (correspondant aux prestations complémentaires auxquelles la recourante pouvait effectivement prétendre au cours de la période litigieuse [7’055 fr.] et à une allocation de Noël [100 fr.]). Le montant que la recourante doit restituer à l’intimée s’élève ainsi à 116’572 francs. b) Il n’y a pas lieu d’examiner si l’intimée peut également prétendre au remboursement des frais de maladie relatifs à l’année 2010. Les captures d’écran figurant au dossier produit par l’intimée ne permettent aucunement d’établir le bien-fondé de cette créance, dès lors qu’elles ne contiennent aucune indication sur la nature des frais remboursés, sur la date de la ou des factures concernées ou encore sur la date du ou des remboursements effectués.</w:t>
      </w:r>
    </w:p>
    <w:p>
      <w:r>
        <w:rPr>
          <w:b/>
        </w:rPr>
        <w:t>E. 12</w:t>
      </w:r>
    </w:p>
    <w:p>
      <w:r>
        <w:t>a) En définitive, le recours doit être partiellement admis et la décision attaquée réformée, en ce sens que la recourante doit restitution à l’intimée de la somme de 116’572 francs. b) La procédure étant gratuite, il n’y a pas lieu de percevoir de frais de justice (art. 61 let. a LPGA). c) La recourante, qui obtient partiellement gain de cause avec l’assistance d’un mandataire professionnel, peut prétendre une indemnité de dépens à la charge de l’intimée (art. 61 let. g LPGA). Il convient de fixer cette indemnité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