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2024 / 14 vom 18. Dezember 2024</w:t>
      </w:r>
    </w:p>
    <w:p>
      <w:r>
        <w:t>VD Tribunal cantonal, 2024-12-18, FR</w:t>
      </w:r>
    </w:p>
    <w:p>
      <w:r>
        <w:rPr>
          <w:b/>
        </w:rPr>
        <w:t xml:space="preserve">Quelle: </w:t>
      </w:r>
      <w:r>
        <w:t>https://mcp.opencaselaw.ch/entscheid/vd_findinfo_Ord___2024___14</w:t>
      </w:r>
    </w:p>
    <w:p>
      <w:r>
        <w:t>FR: VD_FINDINFO Ord / 2024 / 14 du 18 décembre 2024</w:t>
      </w:r>
    </w:p>
    <w:p>
      <w:r>
        <w:t>IT: VD_FINDINFO Ord / 2024 / 14 del 18 dicembre 2024</w:t>
      </w:r>
    </w:p>
    <w:p>
      <w:pPr>
        <w:pStyle w:val="Heading2"/>
      </w:pPr>
      <w:r>
        <w:t>Regeste</w:t>
      </w:r>
    </w:p>
    <w:p>
      <w:r>
        <w:t>EFFET SUSPENSIF | 1 al. 3 PA, 55 al. 2 PA, 55 al. 3 PA, 56 PA</w:t>
      </w:r>
    </w:p>
    <w:p>
      <w:pPr>
        <w:pStyle w:val="Heading2"/>
      </w:pPr>
      <w:r>
        <w:t>Erwägungen</w:t>
      </w:r>
    </w:p>
    <w:p>
      <w:r>
        <w:rPr>
          <w:b/>
        </w:rPr>
        <w:t>E. 13</w:t>
      </w:r>
    </w:p>
    <w:p>
      <w:r>
        <w:t>septembre 2024, annoncé qu’elle mettrait fin au versement des indemnités journalières dès le 31 décembre 2024, dans la mesure où l’assurée avait retrouvé une pleine capacité de travail dans une activité adaptée à ses limitations fonctionnelles, conformément aux conclusions de l’expertise, que l’assurée a formé opposition contre cette décision le 17 octobre 2024, que, par décision sur opposition du 21 novembre 2024, l’intimée a rejeté l’opposition, maintenu la décision du 13 septembre 2024 et retiré l’effet suspensif à un éventuel recours, que F.________, représentée par Me Raphaël Tatti, a recouru, par acte du 11 décembre 2024, contre la décision précitée auprès de la Cour des assurances sociales du Tribunal cantonal en concluant à la poursuite du paiement des indemnités journalières en raison de la perte de gain au-delà du 31 décembre 2024 et jusqu’à l’expiration de la durée maximale prévue par le contrat d’assurance, qu’en complément à son recours, la recourante a requis la restitution de l’effet suspensif par acte du 17 décembre 2024 ; que, conformément à l’art. 1 al. 1 LAMal (loi fédérale du 18 mars 1994 sur l’assurance-maladie ; RS 832.10), la LPGA (loi fédérale du 6 octobre 2000 sur la partie générale du droit des assurances sociales ; RS 830.1) est applicable à l’assurance-maladie, sous réserve de dérogation expresse,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que l’autorité de recours, son président ou le juge instructeur peut également prendre d’autres mesures provisionnelles, d’office ou sur requête d’une partie, pour maintenir intact un état de fait existant ou sauvegarder des intérêts menacés (art. 56 PA), qu’en l’espèce, la décision sur opposition litigieuse est une décision négative par laquelle l’intimée a nié le droit à des prestations à caractère temporaire pour la période postérieure au 31 décembre 2024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 par définition, le recours contre une décision négative ne peut pas avoir d’effet suspensif (ATF 123 V 39 consid. 3), de sorte que la demande doit être rejetée pour autant qu’elle ne soit pas d’emblée sans objet, qu’au demeurant, la demande de la recourante, interprétée comme une requête de mesure provisionnelle, devrait être rejetée sur la base d’une pesée des intérêts en présence et sur la base d’un examen sommaire du dossier (ATF 117 V 185 consid. 2b ; Jean Métral, op. cit. , no 66 ad art. 56), qu’en effet, les chances de l’emporter de l’une ou l’autre des parties ne sont pas d’emblée évidentes et que l’intérêt de l’assurance à ne pas verser des prestations dont elle pourrait avoir de grandes difficultés à obtenir la restitution par la suite, en cas de rejet du recours, l’emporte sur celui de l’assurée à la poursuite du versement des prestations pendant la durée du procès (ATF 119 V 503 consid. 3 et 4), que les frais et dépens de la présente procédure incidente suivent le sort de la cause au fond, que la présente décision relève de la compétence du juge instructeur (art. 94 al. 2 LPA-VD [loi cantonale vaudoise du 28 octobre 2008 sur la procédure administrative ; BLV 173.36]). Par ces motifs, la juge instructrice prononce : I. La demande de restitution de l’effet suspensif au recours est rejetée dans la mesure où elle n’est pas sans objet. II. Les frais et dépens de la présente procédure suivent le sort de la cause au fond. La juge instructrice : La greffière : Du L’ordonnance qui précède est notifiée à : ‑ Me Raphaël Tatti (pour la recourante), ‑ J.________,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