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2021 / 8 vom 3. September 2020</w:t>
      </w:r>
    </w:p>
    <w:p>
      <w:r>
        <w:t>VD Tribunal cantonal, 2020-09-03, FR</w:t>
      </w:r>
    </w:p>
    <w:p>
      <w:r>
        <w:rPr>
          <w:b/>
        </w:rPr>
        <w:t xml:space="preserve">Quelle: </w:t>
      </w:r>
      <w:r>
        <w:t>https://mcp.opencaselaw.ch/entscheid/vd_findinfo_Ord___2021___8</w:t>
      </w:r>
    </w:p>
    <w:p>
      <w:r>
        <w:t>FR: VD_FINDINFO Ord / 2021 / 8 du 3 septembre 2020</w:t>
      </w:r>
    </w:p>
    <w:p>
      <w:r>
        <w:t>IT: VD_FINDINFO Ord / 2021 / 8 del 3 settembre 2020</w:t>
      </w:r>
    </w:p>
    <w:p>
      <w:pPr>
        <w:pStyle w:val="Heading2"/>
      </w:pPr>
      <w:r>
        <w:t>Regeste</w:t>
      </w:r>
    </w:p>
    <w:p>
      <w:r>
        <w:t>RISQUE DE RÉCIDIVE, DÉTENTION POUR DES MOTIFS DE SÛRETÉ, PROPORTIONNALITÉ, MESURE THÉRAPEUTIQUE INSTITUTIONNELLE | 212 al. 3 CPP (CH), 221 al. 1 let. c CPP (CH), 233 CPP (CH), 237 CPP (CH)</w:t>
      </w:r>
    </w:p>
    <w:p>
      <w:pPr>
        <w:pStyle w:val="Heading2"/>
      </w:pPr>
      <w:r>
        <w:t>Erwägungen</w:t>
      </w:r>
    </w:p>
    <w:p>
      <w:r>
        <w:rPr>
          <w:b/>
        </w:rPr>
        <w:t>E. 3</w:t>
      </w:r>
    </w:p>
    <w:p>
      <w:r>
        <w:t>Au vu de ce qui précède, la détention pour des motifs de sûreté de P.________ est justifiée et sa demande de mise en liberté immédiate doit être rejetée. Ce constat rend sa conclusion en indemnisation du tort moral pour détention illicite au sens de l’art. 431 CPP sans objet. Les frais du présent prononcé, par 1’350 fr. (art. 21 al. 1 TFIP [Tarif des frais de procédure et indemnités en matière pénale du 28 septembre 2010; BLV 312.03.1]), seront mis à la charge de P.________,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