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15 vom 9. Februar 2015</w:t>
      </w:r>
    </w:p>
    <w:p>
      <w:r>
        <w:t>VD Tribunal cantonal, 2015-02-09, FR</w:t>
      </w:r>
    </w:p>
    <w:p>
      <w:r>
        <w:rPr>
          <w:b/>
        </w:rPr>
        <w:t xml:space="preserve">Quelle: </w:t>
      </w:r>
      <w:r>
        <w:t>https://mcp.opencaselaw.ch/entscheid/vd_findinfo_Ord___2015___15</w:t>
      </w:r>
    </w:p>
    <w:p>
      <w:r>
        <w:t>FR: VD_FINDINFO Ord / 2015 / 15 du 9 février 2015</w:t>
      </w:r>
    </w:p>
    <w:p>
      <w:r>
        <w:t>IT: VD_FINDINFO Ord / 2015 / 15 del 9 febbraio 2015</w:t>
      </w:r>
    </w:p>
    <w:p>
      <w:pPr>
        <w:pStyle w:val="Heading2"/>
      </w:pPr>
      <w:r>
        <w:t>Regeste</w:t>
      </w:r>
    </w:p>
    <w:p>
      <w:r>
        <w:t>INJURE, COMPENSATION DE LA FAUTE | 177 al. 3 CP, 398 al. 4 CPP (CH), 406 al. 1 let. c CPP (CH)</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d’V.________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L’appelante critique essentiellement l’état de fait ; son grief principal au niveau de l’application du droit suppose en effet comme prémisse une modification de l’état de fait. Le jugement retient une première agression de l’appelante, qui a poussé M.________, ce que l’appelante conteste dans son écriture d’appel, en se fondant sur l’état de fait du jugement, qui serait contradictoire, et sur le témoignage d’ [...]. Cependant, on ne voit pas d’élément qui permette d’accréditer la version des faits présentée en appel. Au moment où le témoin est arrivé, l’empoignade avait déjà commencé et les deux femmes « étaient comme des coqs » (PV aud. 3). Il est exact que le jugement retient des voies de fait à charge de l’appelante au cours de la tentative de faire sortir M.________ du magasin et que le témoin raconte que l’appelante saignait avant que les deux parties ne soient sorties du magasin. Le jugement ne retient cependant rien d’autre, puisqu’il expose que l’appelante a d’abord tenté de faire sortir M.________, puis que l’appelante a été blessée, puis que les deux femmes ont continué à s’en prendre l’une à l’autre et sont finalement sorties du magasin. L’établissement de faits est donc conforme aux éléments figurant au dossier et ne se révèle en aucun cas arbitraire.</w:t>
      </w:r>
    </w:p>
    <w:p>
      <w:r>
        <w:rPr>
          <w:b/>
        </w:rPr>
        <w:t>E. 3</w:t>
      </w:r>
    </w:p>
    <w:p>
      <w:r>
        <w:t>Si l’on retient, comme le premier juge, que c’est l’appelante qui a d’abord poussé l’intimée, il n’y a pas de place pour plaider la riposte au sens de l’art. 177 al. 3 CP. Le raisonnement du Tribunal peut donc être confirmé.</w:t>
      </w:r>
    </w:p>
    <w:p>
      <w:r>
        <w:rPr>
          <w:b/>
        </w:rPr>
        <w:t>E. 4</w:t>
      </w:r>
    </w:p>
    <w:p>
      <w:r>
        <w:t>Il est manifeste qu’une altercation physique sur la voie publique est « de nature à troubler la tranquillité et l’ordre publics ». La condamnation pour violation du Règlement général de police de la commune de Lausanne est dès lors justifiée.</w:t>
      </w:r>
    </w:p>
    <w:p>
      <w:r>
        <w:rPr>
          <w:b/>
        </w:rPr>
        <w:t>E. 5</w:t>
      </w:r>
    </w:p>
    <w:p>
      <w:r>
        <w:t>Au vu de ce qui précède, l’appel doit être rejeté et le jugement attaqué confirmé. Les frais d'appel seront mis à la charge de l’appelante, qui succombe (art. 428 al. 1 CPP). Outre l'émolument (art. 21 al. 1 TFIP [Tarif des frais de procédure et indemnités en matière pénale du 28 septembre 2010; RSV 312.03.1]), ces frais comprennent l’indemnité allouée à son défenseur d'office, fixée à 821 fr. 65, débours et TVA compris (art. 422 al. 1 et 2 let. a CPP). La prévenue ne sera tenue de rembourser l’indemnité de son défenseur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