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14 vom 23. Juli 2013</w:t>
      </w:r>
    </w:p>
    <w:p>
      <w:r>
        <w:t>VD Tribunal cantonal, 2013-07-23, FR</w:t>
      </w:r>
    </w:p>
    <w:p>
      <w:r>
        <w:rPr>
          <w:b/>
        </w:rPr>
        <w:t xml:space="preserve">Quelle: </w:t>
      </w:r>
      <w:r>
        <w:t>https://mcp.opencaselaw.ch/entscheid/vd_findinfo_Ord___2013___14</w:t>
      </w:r>
    </w:p>
    <w:p>
      <w:r>
        <w:t>FR: VD_FINDINFO Ord / 2013 / 14 du 23 juillet 2013</w:t>
      </w:r>
    </w:p>
    <w:p>
      <w:r>
        <w:t>IT: VD_FINDINFO Ord / 2013 / 14 del 23 luglio 2013</w:t>
      </w:r>
    </w:p>
    <w:p>
      <w:pPr>
        <w:pStyle w:val="Heading2"/>
      </w:pPr>
      <w:r>
        <w:t>Regeste</w:t>
      </w:r>
    </w:p>
    <w:p>
      <w:r>
        <w:t>INDEMNITÉ{EN GÉNÉRAL}, FRAIS{EN GÉNÉRAL}, AVOCAT D'OFFICE, DÉFENSE D'OFFICE, JUGE UNIQUE | 132 CPP (CH), 135 al. 3 let. a CPP (CH),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 Niggli/Heer/Wiprächtiger (éd.), Basler Kommentar, Schweizerische Strafprozes-sordnung, Jugendstrafprozessordnung, Bâle 2011, n. 15 ad art. 135 CPP; Harari/Aliberti, in :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S.________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24 juillet 2013/461 c. 1b;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 Kuhn/Jeanneret (éd.), op. cit., n. 2 ad art. 395 CPP; Schmid, Handbuch des schweizerischen Strafprozessrechts, 2009, n. 1521; Stephenson/Thiriet, in : Niggli/Heer/Wiprächtiger (éd.), op. cit., n. 5 ad art. 395 CPP; Message du Conseil fédéral relatif à l’unification du droit de la procédure pénale du 21 décembre 2005, FF 2006 pp. 1057ss,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En l'occurrence, le montant réclamé par le recourant s'élève à 17'335 fr. 95 et celui alloué par jugement du 23 juillet 2013 à 14'385 fr. 60. Ainsi, le montant litigieux s'élève à 2'950 fr. 35 (17'335 fr. 95 – 14'385 fr. 60), de sorte que le recours relève de la compétence d'un juge unique de la Chambre des recours pénale.</w:t>
      </w:r>
    </w:p>
    <w:p>
      <w:r>
        <w:rPr>
          <w:b/>
        </w:rPr>
        <w:t>E. 2</w:t>
      </w:r>
    </w:p>
    <w:p>
      <w:r>
        <w:t>L’appelant ne conteste pas une réduction de ses honoraires, compte tenu de la durée réduite de l’audience de jugement. Il fait uniquement grief au premier juge de ne pas avoir indemnisé ses débours, y compris ses frais de déplacements.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Selon la jurisprudence et la doctrine, les débours comprennent notamment les photocopies et frais de poste et télécommunications (Wehrenberg/Bernhard, in: Niggli/Heer/Wiprächtiger [éd.], op. cit., Bâle 2011, n. 17 ad art. 429 CPP; Mizel/Réformaz, in: Kuhn/Jeanneret [éd.], op. cit., n. 36 ad art. 429 CPP; CREP 24 janvier 2013/102 c. 3a et les arrêts cités). S’agissant des frais de déplacement, ils sont dédommagés forfaitairement par 120 fr. pour les avocats et 80 fr. pour les avocats stagiaires. D'après la jurisprudence, ce forfait vaut pour tout le canton et couvre les kilomètres et le temps du déplacement aller et retour (Juge unique CREP 17 juillet 2013/438; Juge unique CREP du 11 juin 2013/375; Juge unique CREP du 26 décembre 2012/844; c. 3c/bb; Note 6.6 du Procureur général sur la fixation et le calcul des indemnités des conseils d'office du 17 janvier 2012). Ces frais de déplacement ne peuvent pas être inclus dans le temps consacré à l’exécution du mandat mais doivent être ajoutés aux débours. b) A l’appui de son recours, le recourant a produit une liste détaillée de ses opérations. Ce document fait état d’un montant de 18'064 fr. 95, représentant une activité de 77 heures et 45 minutes comprenant la durée de l’audience de jugement estimée à</w:t>
      </w:r>
    </w:p>
    <w:p>
      <w:r>
        <w:rPr>
          <w:b/>
        </w:rPr>
        <w:t>E. 6</w:t>
      </w:r>
    </w:p>
    <w:p>
      <w:r>
        <w:t>heures, les débours par 2'731 fr. 80 et la TVA par 1'338 fr. 15. En l’occurrence, dans la mesure où l’audience du 23 juillet 2013 a été écourtée, il se justifie de défalquer 3h45 des heures initialement annoncées par le recourant. Avec lui, il convient ainsi d’admettre que le montant de 14'385 fr. 60 alloué par le premier juge correspond à un temps de travail de 74 heures au tarif horaire de 180 fr., plus la TVA mais sans débours. Or, l’avocat d’office a droit au remboursement de ses débours, y compris à une indemnité forfaitaire pour ses frais de déplacements (cf. supra c. 2a). Par conséquent, il convient de tenir compte, en sus des honoraires du recourant, des montants suivants : - 91 fr. 20 correspondant à 456 photocopies à 20 ct.; - 75 fr. correspondant aux frais d’envoi de 75 lettres à 1 fr.; - 2'520 fr. correspondant à 21 vacations à 120 francs. Pour le surplus, la liste détaillée des opérations dont se prévaut le recourant ne comporte aucun procédé superflu; de même, la durée d’activité dont elle fait état s’avère adéquate. Sur le vu de ce qui précède, l’indemnité d’office à allouer à Me H.________ doit être arrêtée à 17'286 fr. 70, correspondant à 13'320 fr. d’honoraires (soit 74 heures d’activité à 180 fr.) et à 2'686 fr. 20 de débours (soit 91 fr. 20 + 75 fr. + 2’520 fr.), plus la TVA sur ces montants par 1’280 fr. 50. L’avance de 9'200 fr. déjà payée sera déduite de l’indemnité ainsi allouée. 3. En définitive, le recours doit être admis et le jugement entrepris réformé au chiffre VI de son dispositif dans le sens des considérants qui précèdent. Le défenseur d'office qui recourt en son nom a droit à des honoraires (Ruckstuhl, in: Niggli/Heer/Wiprächtiger (éd.), op. cit., n. 16 et 18 ad art. 135 CPP, p. 913; Pra 2008, n° 46; CREP 9 novembre 2011/477). L'indemnité qu'il convient d'allouer à ce titre à Me H.________ doit être fixée à 540 fr., plus la TVA par 43 fr. 20, soit un total de 583 fr. 20. Les frais de la procédure de recours, constitués de l'émolument d'arrêt, par 630 fr. (art. 20 al. 1 TFJP [tarif des frais judiciaires pénaux du 28 septembre 2010; RSV 312.03.1]), ainsi que l'indemnité allouée au recourant, par 583 fr. 20, seront laissés à la charge de l'Etat (art. 423 al. 1 CPP). Par ces motifs, le Juge de la Chambre des recours pénale, statuant à huis clos, prononce : I. Le recours est admis. II. Le jugement du 23 juillet 2013 est réformé au chiffre VI de son dispositif comme il suit : « VI. Met les frais de justice par 38'286 fr. 10 à la charge de S.________, et dit que ces frais comprennent l’indemnité allouée à son défenseur d’office par 17'286 fr. 70 (dont 9'200 fr. ont déjà été payés), cette indemnité devant être remboursée à l’Etat dès que la situation financière du condamné le permettra ». III. L’indemnité allouée à Me H.________ pour la procédure de recours est fixée à 583 fr. 20 (cinq cent huitante-trois francs et vingt centimes). IV. Les frais de la procédure de recours, par 630 fr. (six cent trente francs), ainsi que l’indemnité allouée à Me H.________, par 583 fr. 20 (cinq cent huitante-trois francs et vingt centimes), sont laissés à la charge de l’Etat. V. Le présent arrêt est exécutoire. Le juge :               La greffière : Du L’ordonnance qui précède est notifiée, par l'envoi d'une copie complète, à : - Me H.________, avocat, - M. S.________, - Ministère public central, et communiquée à : ‑ M. le Président du Tribunal correctionnel de Lausanne,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