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2012 / 19 vom 30. November 2012</w:t>
      </w:r>
    </w:p>
    <w:p>
      <w:r>
        <w:t>VD Tribunal cantonal, 2012-11-30, FR</w:t>
      </w:r>
    </w:p>
    <w:p>
      <w:r>
        <w:rPr>
          <w:b/>
        </w:rPr>
        <w:t xml:space="preserve">Quelle: </w:t>
      </w:r>
      <w:r>
        <w:t>https://mcp.opencaselaw.ch/entscheid/vd_findinfo_Ord___2012___19</w:t>
      </w:r>
    </w:p>
    <w:p>
      <w:r>
        <w:t>FR: VD_FINDINFO Ord / 2012 / 19 du 30 novembre 2012</w:t>
      </w:r>
    </w:p>
    <w:p>
      <w:r>
        <w:t>IT: VD_FINDINFO Ord / 2012 / 19 del 30 novembre 2012</w:t>
      </w:r>
    </w:p>
    <w:p>
      <w:pPr>
        <w:pStyle w:val="Heading2"/>
      </w:pPr>
      <w:r>
        <w:t>Regeste</w:t>
      </w:r>
    </w:p>
    <w:p>
      <w:r>
        <w:t>RISQUE DE FUITE, MOTIF DE DÉTENTION | 231 al. 2 CPP (CH)</w:t>
      </w:r>
    </w:p>
    <w:p>
      <w:pPr>
        <w:pStyle w:val="Heading2"/>
      </w:pPr>
      <w:r>
        <w:t>Erwägungen</w:t>
      </w:r>
    </w:p>
    <w:p>
      <w:r>
        <w:rPr>
          <w:b/>
        </w:rPr>
        <w:t>E. 1</w:t>
      </w:r>
    </w:p>
    <w:p>
      <w:r>
        <w:t>Aux termes de l’art. 231 al. 1 CPP, au moment du jugement, le tribunal de première instance détermine si le prévenu qui a été condamné doit être placé ou maintenu en détention pour des motifs de sûreté : pour garantir l’exécution de la peine ou de la mesure prononcée (let. a), en prévision de la procédure d’appel (let. b). Selon l’al. 2 de cette disposition, si le prévenu en détention est acquitté et que le tribunal de première instance ordonne sa mise en liberté, le ministère public peut demander à la direction de la procédure de la juridiction d’appel, par l’entremise du tribunal de première instance, de prolonger sa détention pour des motifs de sûreté. En pareil cas, la personne concernée demeure en détention jusqu’à ce qu’à ce que la direction de la procédure de la juridiction d’appel ait statué. Celle-ci statue sur la demande du ministère public dans les cinq jours à compter du dépôt de la demande. Malgré le silence de la loi à cet égard, aucune circonstance ne justifie d'interdire au Ministère public de s'opposer également à la remise en liberté d'un condamné lorsque la condamnation s'écarte sensiblement de ses réquisitions et qu'il estime que le maintien en détention est nécessaire en prévision de la procédure d'appel qu'il entend annoncer (Logos, in : Kuhn/Jeanneret [éd.], Code de procédure pénale suisse, Commentaire romand, Bâle 2011, nn. 13 et 15 ad art. 231 CPP et les réf. cit.). En l'espèce, le Ministère public a réclamé à l'encontre de H.________ une peine supérieure à celle prononcée par le Tribunal correctionnel de l'arrondissement de Lausanne, soit une peine privative de liberté de vingt mois, qui est également supérieure aux 462 jours de détention provisoire déjà effectuée. Il a déposé une annonce d’appel et on ne saurait exclure qu’un éventuel appel soit a priori dépourvu de chances de succès au fond,</w:t>
      </w:r>
    </w:p>
    <w:p>
      <w:r>
        <w:rPr>
          <w:b/>
        </w:rPr>
        <w:t>E. 2.1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(ATF 137 IV 13 c. 4.5; ATF 135 I 71 c. 2.3).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 3-4; TF 1B_133/2011 du 12 avril 2011 consid. 4.7). Le risque de récidive peut également se fonder sur les infractions faisant l'objet de la procédure pénale en cours, si le prévenu est fortement soupçonné - avec une probabilité confinant à la certitude - de les avoir commises (ATF 137 IV 84 c. 3.2 et les réf. cit.).</w:t>
      </w:r>
    </w:p>
    <w:p>
      <w:r>
        <w:rPr>
          <w:b/>
        </w:rPr>
        <w:t>E. 2.2</w:t>
      </w:r>
    </w:p>
    <w:p>
      <w:r>
        <w:t>Le Tribunal correctionnel de Lausanne a condamné H.________ pour contravention à la LStup, tentative d’utilisation frauduleuse d’un ordinateur, vol, tentative de vol et dommages à la propriété. On lui reproche, en substance, d’avoir, entre juillet 2010 et fin avril 2012, cambriolé des véhicules en ville de Lausanne notamment afin de fiancer sa consommation de produits stupéfiants. En l’espèce, le risque de récidive au sens de l’art. 221 al. 1 let. c CPP est manifeste et les conditions d’un maintien en détention sont par conséquent réalisées. En effet, les experts ont estimé que le risque de récidive présenté par le prévenu était significatif. De plus, ce dernier a déjà été condamné pour des fais similaires en 2008. Il a également récidivé en cours d’enquête, à savoir lors des deux mises en liberté dont il a bénéficié. Enfin, l’intéressé a lui-même expressément indiqué, dans le cadre de ses déterminations, qu’il ne demandait pas sa mise en liberté immédiate, car il était conscient qu’il était préférable pour lui d’avoir une continuité entre sa détention et la mesure à intervenir.</w:t>
      </w:r>
    </w:p>
    <w:p>
      <w:r>
        <w:rPr>
          <w:b/>
        </w:rPr>
        <w:t>E. 3.1</w:t>
      </w:r>
    </w:p>
    <w:p>
      <w:r>
        <w:t>Conformément au principe de la proportionnalité (art. 36 al. 3 Cst.),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La liste des mesures de substitution énoncée à l'art. 237 CPP n'est pas exhaustive. Aux termes de l’art. 236 al. 1 CPP, la direction de la procédure peut autoriser le prévenu à exécuter de manière anticipée une peine privative de liberté ou une mesure entraînant une privation de liberté si le stade de la procédure le permet. De par sa nature, l’exécution anticipée des peines et des mesures de l’art. 236 CPP est une mesure de contrainte de la procédure pénale qui se classe à la limite entre la poursuite pénale et l’exécution de la peine; elle doit permettre d’offrir à l’accusé de meilleures chances de resocialisation dans le cadre de l’exécution de la peine avant même que le jugement n’entre en force (TF 1B_90/2012 du 21 mars 2012 c. 2.2; TF 1B_18/2012 du 27 janvier 2012 consid. 2; ATF 133 I 270 c. 3.2.1, JT 2011 IV 3). La poursuite de la détention sous la forme de l’exécution anticipée de la peine suppose l’existence d’un motif de détention provisoire particulier, comme par exemple le risque de collusion ou le risque de fuite (TF 1B_90/2012 précité; ATF 117 Ia 72; Robert-Nicoud, in : Kuhn/Jeanneret [éd.], Commentaire romand, Code de procédure pénale suisse, Bâle 2011, n. 4 ad art. 236 CPP).</w:t>
      </w:r>
    </w:p>
    <w:p>
      <w:r>
        <w:rPr>
          <w:b/>
        </w:rPr>
        <w:t>E. 3.2</w:t>
      </w:r>
    </w:p>
    <w:p>
      <w:r>
        <w:t>Les premiers juges ont ordonné en faveur de H.________ un traitement ambulatoire relatif à sa schizophrénie (IV) et un traitement institutionnel au sein de l’institution l’Estérelle à Vevey, ou de toute autre institution répondant aux exigences du traitement suivi d’un traitement ambulatoire, relatifs à ses addictions aux stupéfiants (V). L’intéressé est un poly-toxicomane au long court, souffrant d’une dépendance lourde mise au jour par les experts psychiatres, lesquels ont en outre posé le diagnostic de schizophrénie. La diminution de responsabilité a été qualifiée de moyenne. Aux débats de première instance, l’expert a déclaré que les deux pathologies étaient imbriquées et qu’à l’heure actuelle, si le cadre contenant de la prison avait permis de mettre sous cloche les symptômes liés à la pathologie psychiatrique du prévenu, une remise en liberté sans cadre serait de mauvaise augure, compte tenu du risque de récidive, immanquablement accentué par une inévitable recrudescence des symptômes liés à sa schizophrénie. L’expert s’est donc prononcé en faveur d’un traitement résidentiel pour soigner la dépendance toxicologique du prévenu, à doubler d’un traitement ambulatoire orienté sur la problématique psychiatrique. Au regard des remarques de l’expert, il y a lieu de mettre en œuvre, sans tarder, les mesures préconisées par ce dernier et telles qu’ordonnées par les premiers juges. En effet, ces mesures sont aptes à réduire le risque de récidive et le prévenu est disposé à s’y soumettre, dès lors qu’il en a précisément requis l’exécution. Une exécution anticipée de ces mesures est propre à offrir à H.________ de meilleures chances de resocialisation dans le cadre de l’exécution de la peine avant même que le jugement n’entre en force. Il convient par conséquent d'ordonner l'exécution anticipée des mesures prononcées au bénéfice de H.________. Reste qu’il subsiste un risque de récidive jusqu’à ce que ces mesures puissent être mises en œuvre, dès lors qu’il faut encore trouver au prévenu une place disponible dans une institution pouvant convenir à sa pathologie. Il convient par conséquent de contrer ce risque par un maintien en détention de H.________ jusqu’à la mise en place de la mesure institutionnelle et le traitement ambulatoire.</w:t>
      </w:r>
    </w:p>
    <w:p>
      <w:r>
        <w:rPr>
          <w:b/>
        </w:rPr>
        <w:t>E. 4</w:t>
      </w:r>
    </w:p>
    <w:p>
      <w:r>
        <w:t>En définitive, la demande du Ministère public doit être admise et le maintien de la détention de sûreté prononcé. Il en va de même de la demande de H.________ à pouvoir exécuter les mesures ordonnées en sa faveur de manière anticipée. Il sera statué sur les frais de la présente ordonnance à l'issue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