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12 vom 5. Oktober 2009</w:t>
      </w:r>
    </w:p>
    <w:p>
      <w:r>
        <w:t>VD Tribunal cantonal, 2009-10-05, FR</w:t>
      </w:r>
    </w:p>
    <w:p>
      <w:r>
        <w:rPr>
          <w:b/>
        </w:rPr>
        <w:t xml:space="preserve">Quelle: </w:t>
      </w:r>
      <w:r>
        <w:t>https://mcp.opencaselaw.ch/entscheid/vd_findinfo_Ord___2009___12</w:t>
      </w:r>
    </w:p>
    <w:p>
      <w:r>
        <w:t>FR: VD_FINDINFO Ord / 2009 / 12 du 5 octobre 2009</w:t>
      </w:r>
    </w:p>
    <w:p>
      <w:r>
        <w:t>IT: VD_FINDINFO Ord / 2009 / 12 del 5 ottobre 2009</w:t>
      </w:r>
    </w:p>
    <w:p>
      <w:pPr>
        <w:pStyle w:val="Heading2"/>
      </w:pPr>
      <w:r>
        <w:t>Regeste</w:t>
      </w:r>
    </w:p>
    <w:p>
      <w:r>
        <w:t>RESTITUTION DE L'EFFET SUSPENSIF, MESURE PROVISIONNELLE | 38 LPGA, 54 al. 1 let. c LPGA, 60 LPGA, 69 al. 1 LPA-VD, 69 al. 2 LPA-VD, 94 al. 2 LPA-VD, 99 LPA-VD</w:t>
      </w:r>
    </w:p>
    <w:p>
      <w:pPr>
        <w:pStyle w:val="Heading2"/>
      </w:pPr>
      <w:r>
        <w:t>Erwägungen</w:t>
      </w:r>
    </w:p>
    <w:p>
      <w:r>
        <w:rPr>
          <w:b/>
        </w:rPr>
        <w:t>E. 1</w:t>
      </w:r>
    </w:p>
    <w:p>
      <w:r>
        <w:t>let. c LPGA; Kieser, op. cit. , n. 26 ad art. 56 LPGA et n. 5 ad art. 61 LPGA), que, lorsque l'autorité administrative a retiré l'effet suspensif à un éventuel recours, l'autorité de recours peut restituer l'effet suspensif (Kieser, op. cit. , n. 27 ad art. 56 LPGA); attendu qu'en l'espèce, la Caisse, dans sa décision sur opposition du 2 juillet 2009 présentement attaquée, a décidé de retirer l'effet suspensif d'un éventuel recours,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(Kieser, op. cit. , n. 27 ad art. 56 LPGA et les références citées),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119 V 503, consid. 4, et les références citées; TF 9C_1073/2008 du 6 mars 2009), que, dans le cadre de procédures portant sur la suppression ou la réduction de rentes ou d'indemnités journalières, les assureurs ont un intérêt certain à éviter les procédures de restitution, compte tenu des difficultés administratives que ces dernières occasionnent (cf. ATF 105 V 266, consid. 3; VSI 2000 p. 184, consid. 5); attendu qu'en l'espèce, sur la base d'un examen sommaire du dossier, il n'est pas possible de déterminer l'issue du litige, étant observé que la position de la Caisse est fondée sur un rapport médical du Centre S.________ du 28 octobre 2008 et sur un rapport d'expertise du Dr H.________ du 14 mai 2009, tandis que la position de la recourante s'appuie essentiellement sur l'avis de son médecin psychiatre traitant, et qu'il y a en principe lieu d'attacher plus de poids aux constatations d'un expert mandaté par l'administration ou le juge qu'à celles du médecin traitant (ATF 125 V 351, consid. 3b/cc, et les références citées; VSI 2001 p. 106, consid. 3b/bb et cc), qu'au surplus, en cas de restitution de l'effet suspensif et de confirmation du versement des indemnités journalières, il est à craindre que la recourante, compte tenu de sa situation financière, soit mise en difficulté par l'accumulation d'un important arriéré de prestations à rembourser, qu'en revanche, elle pourrait obtenir aisément le paiement de prestations arriérées si elle obtenait finalement gain de cause, que l'intérêt de la Caisse à ne pas verser les prestations litigieuses jusqu'à droit connu sur le fond l'emporte ainsi sur celui de la recourante au maintien des indemnités journalières, qu'en conséquence, la requête tendant à la restitution de l'effet suspensif doit être rejetée; attendu , s'agissant de la requête subsidiaire en octroi de mesures provisionnelles, que de telles mesures n'entrent en considération que pour les décisions par lesquelles une requête de modification de la situation existante est rejetée, qu'en l'espèce, une requête de mesures provisionnelles n'est pas possible, puisque l'intérêt de la partie n'est pas d'obtenir pendant la procédure de recours la modification d'une situation jusqu'ici inchangée, mais de maintenir l'état existant avant la décision attaquée (cf. Kieser, op. cit. , n. 25 ad art. 56 LPGA et les références citées), que, dès lors, seule une restitution de l'effet suspensif aurait pu s'avérer utile (cf. Kieser, ibidem ), or celle-ci a été rejetée, attendu que les frais et dépens de la présente procédure incidente suivent le sort de la cause au fond; attendu que la présente décision relève de la compétence du juge instructeur statuant comme juge unique (art. 94 al. 2 LPA-VD). Par ces motifs, le juge instructeur prononce : I. La requête d'P.________ tendant à la restitution de l'effet suspensif, subsidiairement à l'octroi de mesures provisionnelles, est rejetée. II. Les frais et dépens de la présente procédure suivent le sort de la cause au fond. Le juge instructeur: Le greffier: Du L'ordonnance qui précède est notifiée à: ‑      Me C.________ (pour P.________), ‑ Caisse-maladie J.________,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