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2024 / 8 vom 28. August 2024</w:t>
      </w:r>
    </w:p>
    <w:p>
      <w:r>
        <w:t>VD Tribunal cantonal, 2024-08-28, FR</w:t>
      </w:r>
    </w:p>
    <w:p>
      <w:r>
        <w:rPr>
          <w:b/>
        </w:rPr>
        <w:t xml:space="preserve">Quelle: </w:t>
      </w:r>
      <w:r>
        <w:t>https://mcp.opencaselaw.ch/entscheid/vd_findinfo_MP___2024___8</w:t>
      </w:r>
    </w:p>
    <w:p>
      <w:r>
        <w:t>FR: VD_FINDINFO MP / 2024 / 8 du 28 août 2024</w:t>
      </w:r>
    </w:p>
    <w:p>
      <w:r>
        <w:t>IT: VD_FINDINFO MP / 2024 / 8 del 28 agosto 2024</w:t>
      </w:r>
    </w:p>
    <w:p>
      <w:pPr>
        <w:pStyle w:val="Heading2"/>
      </w:pPr>
      <w:r>
        <w:t>Regeste</w:t>
      </w:r>
    </w:p>
    <w:p>
      <w:r>
        <w:t>RÉVOCATION{EN GÉNÉRAL}, MESURE PROVISIONNELLE | 268 CPC (CH)</w:t>
      </w:r>
    </w:p>
    <w:p>
      <w:pPr>
        <w:pStyle w:val="Heading2"/>
      </w:pPr>
      <w:r>
        <w:t>Erwägungen</w:t>
      </w:r>
    </w:p>
    <w:p>
      <w:r>
        <w:rPr>
          <w:b/>
        </w:rPr>
        <w:t>E. 13</w:t>
      </w:r>
    </w:p>
    <w:p>
      <w:r>
        <w:t>CPC. La compétence matérielle relève en principe du droit cantonal. Sauf réglementation contraire, si le tribunal a été saisi au fond, c’est lui qui est compétent pour modifier des mesures prises par un autre juge avant le dépôt de la demande en fond. Une modification est envisageable jusqu’au prononcé final (Bohnet, op. cit., nn. 7 ss ad art. 268 CPC). c) En l’espèce, la procédure au fond a été ouverte par les intimées devant la Cour civile le 26 septembre 2019 et est encore en cours. Le juge délégué de la Cour civile est donc compétent pour statuer sur la requête en levée de mesures provisionnelles (13 CPC et 43 al. 1 let. e CDPJ [Code de droit privé judiciaire vaudois du 12 janvier 2010 ; BLV 211.01]) . III. a) La requérante remet en doute la validité des marques des intimées correspondant aux formes « [...] » et « [...] » en se basant sur les rapports rendus par l’experte dans le procès au fond, soit l’expertise relative au sondage de 2019 et l’expertise sur l’imposition de la marque « [...] » dont la requérante transpose les résultats à la marque « [...] ». b) En l’espèce, en cours d’instruction dans le cadre de la procédure au fond, l’experte [...] a été nommée afin de procéder à l’expertise du sondage établi en 2019 (aa) et afin de se déterminer sur l’imposition ou non des marques correspondant aux formes « [...] » et « [...] » (bb). aa) Comme le soulève la requérante, l’experte a relevé plusieurs défauts liés à la méthodologie utilisée lors du sondage de 2019 qui s’écarte sur certains éléments des lignes directrices de l’IPI. Elle a notamment observé ce qui suit : i) S’agissant de la première question du sondage (« Avez-vous déjà vu cette forme en lien avec des barres de chocolat, ou vous est-elle familière ou vous est-elle au contraire totalement inconnue en lien avec des barres de chocolat ? » avec les réponses possibles « Oui, j’ai déjà vu cette forme / Elle m’est familière / Elle m’est totalement inconnue / Ne sais pas – pas d’indication ») : - Une image en couleur (brune) a été montrée aux sondés alors que la figure enregistrée au registre des marques est en noir et blanc. En outre, l’image est prise d’une perspective et d’un angle qui sont différents de l’image du registre et elle apparaît comme étant plus grande. Si la couleur pouvait évoquer visuellement plus de souvenirs concrets aux participants, l’experte n’a toutefois pas pu estimer dans quelle mesure cela a pu affecter les résultats du sondage de 2019 concernant la notoriété et le caractère distinctif de la forme « [...] ». S’agissant de la perspective et de l’angle différents, cela n’a pas amélioré les résultats de l’enquête. Quant à la taille de l’objet, l’experte n’a pu répondre à la question de savoir si cela avait pu entraîner des résultats plus élevés. - Les termes utilisés pour désigner l’objet présenté étaient différents selon la langue nationale alors qu’il y aurait dû y avoir une uniformité dans la formulation utilisée. Selon l’experte, les différentes terminologies n’ont toutefois pas conduit à des résultats significativement différents. - L’inclusion de l’option de réponse « est familière » dans la formulation de la question n’est pas une grave lacune et il n’y a pas de raison de penser que le degré de notoriété aurait été gonflé par cette option supplémentaire de réponse. La part de 23% des sondés ayant répondu ainsi a été correctement prise en compte dans les résultats du sondage de 2019. - L’ordre des options de réponses généralement assez courtes ne peut normalement pas avoir d’influence sur un sondage et leur absence de rotation en l’occurrence n’est pas critiquable. ii) S’agissant de la deuxième question du sondage (« En lien avec les barres de chocolat, j’attribue cette forme » avec les réponses possibles « … uniquement à une entreprise-marque bien précise / … à différentes entreprises-marques / … à aucune entreprise-marque en particulier / … je n’ai pas d’avis à ce sujet ») : - La question de l’attribution de la forme concernée à une entreprise/marque ou à plusieurs a également été adressée aux 2% des sondés qui n’ont pas répondu à la question relative à la connaissance de la forme en lien avec des barres de chocolat, ce qui n’aurait pas dû être le cas, puisqu’ils ne pouvaient alors que deviner la réponse à la seconde question, à moins de choisir l’option de réponse « je n’ai pas d’opinion à ce sujet ». - Le choix du verbe « attribuer à » au lieu de « renvoyer à » est restrictif et a probablement conduit à une baisse des résultats sans qu’il soit possible d’en mesurer l’étendue. - Le fait d’avoir utilisé le terme « marque » dans la question sur le caractère distinctif n’est pas conforme aux lignes directrices de l’IPI notamment et peut avoir gonflé les résultats sans qu’il soit possible d’en estimer l’ampleur. - Les désignations pour les étapes du sondage sont différentes des lignes directrices de l’IPI, la rotation des options de réponse à la deuxième question est incorrecte et le fait d’attribuer la forme à plusieurs entreprises-marques revient à ne l’attribuer à aucune en même temps. L’experte a relevé que les résultats n’auraient toutefois probablement pas été beaucoup plus bas si ces lacunes avaient été évitées. iii) S’agissant des troisième et quatrième questions du sondage (« Quel est le nom de cette entreprise ou marque ? » - « Quels sont les noms de ces entreprises ou marques ? ») : - L’experte a considéré que les mauvaises réponses données (8%) ne devraient pas être déduites du résultat dès lors que le nom exact de l’entreprise n’est souvent pas pertinent dans la perception des consommateurs. Une telle déduction ne pourrait avoir lieu que si les attributions incorrectes par nom se concentraient sur un concurrent spécifique ou avaient une portée substantielle ou se référaient à d’autres produits utilisant le même signe ou un signe similaire, ce qui n’est pas le cas en l’occurrence. - Les noms des entreprises/marques cités par les sondés dans le cadre de la quatrième question ne figurent pas dans le sondage de 2019, ce qui est une lacune, mais il n’a pas été possible à l’experte de déterminer dans quelle mesure le degré de distinctivité aurait été augmenté et les résultats améliorés si ces noms avaient été intégrés. iv) Selon l’experte, le fait que le sondage de 2019 a porté sur la population suisse dans son ensemble alors qu’il aurait dû cibler des cercles plus étroits comme les « acheteurs et consommateurs de barres chocolatées », a eu pour conséquence que les résultats ont été plus bas que ce qu’ils auraient pu être. v) Il ressort de l’expertise relative au sondage de 2019 que malgré les lacunes méthodologiques de celui-ci, les manquements ne sont pas graves au point que le sondage serait sans valeur s’agissant de la marque « [...] ». Il n’y a donc pas lieu de déduire la part de 23% ayant répondu « elle m’est familière » à la première question, ni la part de 8% de mauvaises réponses à la troisième question. A ce stade, la requérante n’a donc pas réussi à démontrer que les résultats auraient été différents si les lacunes relevées avaient été évitées, ni que le sondage de 2019 ne permet pas de déterminer que la forme « [...] » est perçue par le public comme une référence à une entreprise déterminée pour les barres chocolatées (selon les conclusions de l'enquête, la forme correspondant à cette marque est attribuée par 71% de la population suisse à une seule source et 57% de la population suisse identifie cette source en nommant la marque « [...] » ou l'entreprise [...]). En tous les cas, aucun élément ne permet à ce stade de faire basculer les résultats au-dessous de la barre des 50% s’agissant du degré de caractère distinctif. bb) L’experte a mis en œuvre un sondage sur la marque correspondant à la forme « [...] ». Pour ce faire, elle a montré aux sondés l’image en noir et blanc de la forme telle qu’elle est enregistrée et a utilisé un questionnaire qui différait de celui qui avait été utilisé dans le cadre du sondage de 2019. Il en est résulté que pour 40% des acheteurs/mangeurs de barres chocolatées la forme correspondant à la marque « [...] » a un caractère distinctif, et que cette forme a une image positive et bonne parmi ceux qui l’attribuent à une entreprise particulière. Elle a conclu que le degré de distinctivité de la forme « [...] » dans les barres chocolatées est nettement inférieur à celui de la forme « [...] » mesuré dans le sondage de 2019. Au stade de la procédure provisionnelle, on ne peut toutefois pas préjuger du fond et on ne peut donc pas exclure que la forme « [...] » se soit imposée à titre de marque. En outre, contrairement à ce que soutient la requérante, les résultats du sondage sur l’imposition de la marque correspondant à la forme « [...] » ne permettent pas d’extrapolation concernant l’imposition de la marque correspondant à la forme « [...] » pour laquelle un sondage est en cours d’élaboration par l’experte elle-même et pour laquelle on ne peut exclure que les résultats soient différents. Le contenu du sondage relatif à la forme « [...] » ne peut donc pas d’emblée être transposable tel quel à la forme « [...] », dont il apparaît que le volume de ventes de produits est plus élevé. Le fait que l’experte a laissé entendre au mois de septembre 2022 que si les résultats étaient très élevés ou très faibles pour l’une des formes, il pourrait en être de même pour l’autre forme, n’est pas déterminant puisqu’elle a en même temps réservé l’explication d’une telle différence par un volume de ventes différent, ce qui est le cas en l’occurrence, et qu’il s’agissait en outre de sa part d’une suggestion d’ordre pratique dans un but d’économie de coûts pour les parties. c) L’argument de la requérante relatif au dommage exorbitant qu’elle risque de subir (entrave au développement économique lié à l’interdiction faite de lancer un produit sur le marché et risque de perte de parts de marchés pouvant en résulter) ne peut être retenu. En effet, elle n’a pas rendu vraisemblable qu’elle subirait un tel dommage et elle ne peut soutenir aujourd’hui à l’appui de sa requête en levée de mesures provisionnelles le contraire de ce qu’elle soutenait dans le cadre des mesures provisionnelles en 2020, soit il y a quatre ans. Elle ne peut ainsi invoquer qu’elle a désormais l’intention de percer sur le marché suisse, impliquant un éventuel dommage si les mesures provisionnelles sont maintenues, alors qu’elle plaidait l’inverse en déclarant alors que l’enregistrement de ses marques n’était pas indicatif d’une intention d’en faire usage. En outre, le contexte ayant justifié l’octroi des mesures provisionnelles n’a pas été modifié et la durée d’un procès dans le domaine concerné était prévisible. Il n’y a donc pas lieu d’en tenir compte à ce stade. d) Au vu de ce qui précède, les résultats des expertises ne permettent pas de remettre en cause l’ordonnance de mesures provisionnelles rendue le 8 juillet 2020 qui relevait que les formes litigieuses se sont imposées comme marques et qu’elles doivent être protégées par les dispositions du droit des marques et du droit de la concurrence déloyale. La requête en levée de dites mesures provisionnelles doit donc être rejetée. IV. a) Les frais judiciaires et les dépens (art. 95 al. 1 CPC) sont mis à la charge de la requérante, qui succombe (art. 106 al. 1 CPC). b) L'émolument forfaitaire de décision pour les contestations en procédure sommaire devant la Cour civile est fixé en principe à un montant entre 900 fr. et 3'000 fr. (art. 28 TFJC [tarif des frais judiciaires civils du 28 septembre 2010 ; BLV 270.11.5]). En vertu de l’art. 31 TFJC, e n dérogation à l'art. 6 TFJC, lorsque la cause impose un travail particulièrement important, le juge peut augmenter l'émolument des mesures provisionnelles jusqu'à concurrence de 30'000 fr. dans les causes de la compétence de la Cour civile. Dans le cas d’espèce, l’émolument forfaitaire de décision, mis à la charge de la requérante, est arrêté à 5'000 francs. Les intimées ont par ailleurs droit, solidairement entre elles, à de pleins dépens (art. 95 al. 3 CPC), à la charge de la requérante, qui seront fixés à 6’000 fr., (art. 6 TDC [tarif des dépens en matière civile du 23 novembre 2010 ; BLV 270.11.6]), plus débours (19 al. 2 TDC). V. Les décisions prises en instance cantonale unique selon les art. 5 ss CPC doivent, en vertu de l'art. 112 LTF (loi sur le Tribunal fédéral du 17 juin 2005 ; RS 173.110), être communiquées par écrit. Une communication orale suivie d'une motivation écrite selon les art. 239 al. 1 et 2 CPC est exclue. La réserve du droit cantonal prévue à l'art. 112 al. 2 LTF ne s'applique pas non plus, le domaine de la procédure civile ne relevant plus du droit cantonal (Staehelin in Sutter-Somm et alii , n. 38 ad art. 239 CPC; Oberhammer, Basler Kommentar ZPO, 2 e éd., Bâle 2014, n. 10 ad art. 239 CPC ; Gasser/Rickli, Schweizerische Zivilprozessordnung, Kurzkommentar, Zurich 2010, n. 4 ad art. 239 CPC; contra : Tappy in Bohnet et alii , op. cit., nn 24-25 ad art. 239 CPC). Par conséquent, le présent jugement est motivé d'office. * * * * * Par ces motifs, le juge délégué, statuant à huis clos et par voie de mesures provisionnelles : I. Rejette la requête en levée de mesures provisionnelles déposée le</w:t>
      </w:r>
    </w:p>
    <w:p>
      <w:r>
        <w:rPr>
          <w:b/>
        </w:rPr>
        <w:t>E. 17</w:t>
      </w:r>
    </w:p>
    <w:p>
      <w:r>
        <w:t>juillet 2024 par Y.________ à l’encontre de J.________ et de F.________. II. Met les frais judiciaires de la procédure provisionnelle, arrêtés à 5’000 fr. (cinq mille francs), à la charge de Y.________. III. Condamne Y.________ à verser à J.________ et F.________, solidairement entre elles, le montant de 6’000 fr. (six mille francs) à titre de dépens. IV. Déclare la présente ordonnance immédiatement exécutoire, nonobstant recours ou appel. Le juge délégué : Le greffier : S. Parrone              M. Bron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