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2022 / 5 vom 27. September 2022</w:t>
      </w:r>
    </w:p>
    <w:p>
      <w:r>
        <w:t>VD Tribunal cantonal, 2022-09-27, FR</w:t>
      </w:r>
    </w:p>
    <w:p>
      <w:r>
        <w:rPr>
          <w:b/>
        </w:rPr>
        <w:t xml:space="preserve">Quelle: </w:t>
      </w:r>
      <w:r>
        <w:t>https://mcp.opencaselaw.ch/entscheid/vd_findinfo_MP___2022___5</w:t>
      </w:r>
    </w:p>
    <w:p>
      <w:r>
        <w:t>FR: VD_FINDINFO MP / 2022 / 5 du 27 septembre 2022</w:t>
      </w:r>
    </w:p>
    <w:p>
      <w:r>
        <w:t>IT: VD_FINDINFO MP / 2022 / 5 del 27 settembre 2022</w:t>
      </w:r>
    </w:p>
    <w:p>
      <w:pPr>
        <w:pStyle w:val="Heading2"/>
      </w:pPr>
      <w:r>
        <w:t>Regeste</w:t>
      </w:r>
    </w:p>
    <w:p>
      <w:r>
        <w:t>DÉBAUCHAGE, CLAUSE CONTRACTUELLE, PROHIBITION DE CONCURRENCE | 321a al. 1 CO, 321a al. 4 CO, 340 CO, 2 LCD, 4 let. c LCD, 6 LCD, 152 al. 2 CPC (CH), 229 CPC (CH), 90 CPC (CH)</w:t>
      </w:r>
    </w:p>
    <w:p>
      <w:pPr>
        <w:pStyle w:val="Heading2"/>
      </w:pPr>
      <w:r>
        <w:t>Erwägungen</w:t>
      </w:r>
    </w:p>
    <w:p>
      <w:r>
        <w:rPr>
          <w:b/>
        </w:rPr>
        <w:t>E. 2</w:t>
      </w:r>
    </w:p>
    <w:p>
      <w:r>
        <w:t>août 2022, subsidiairement au rejet de dite requête, et plus subsidiairement à ce que la requérante soit astreinte au dépôt de sûretés. Ils soutiennent notamment que les services d’intégration de progiciels se caractérisent par une forte composante personnelle, que les connaissances techniques, organisationnelles, commerciales et financières utilisées pour ces services le sont dans toutes les entreprises de la même branche de sorte qu’elles font partie de l’expérience professionnelle des employés, que la connaissance des clients traités par les intimés auprès de la requérante provient de collaborations et de relations de confiance voire d’amitié remontant à leurs rapports de travail antérieurs à 2018, que de nombreux employés les ont également suivis lorsqu’ils ont commencé leur emploi pour la requérante et que les mesures qu’ils ont prises ne sont dès lors pas déloyales. Ils soutiennent également que la clause de prohibition de concurrence figurant dans les contrats de travail des intimées K.________ et F.________ n’est pas valable, puisqu’elle ne comporte notamment aucune limite quant au lieu et ne réserve pas le droit de l’employeur de demander la cessation d’une éventuelle contravention, ni ne prévoit d’indemnisation financière. II. a) La requérante soutient être lésée par des actes de concurrence déloyale de l’intimée, et invoque le for de l’art. 36 CPC cum art. 13 CPC (Code de procédure civile du 19 décembre 2008 ; RS 272) ;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litiges en matière de concurrence déloyale ou de violation du droit à la marque (ibid. ; Bohnet et alii , CPC Commenté, 2 e éd., Bâle 2016, n. 2 ad art. 36 CPC). La requérante étant sise à [...], elle est en droit de faire valoir des prétentions découlant de violations – alléguées – du droit de la concurrence déloyale dans le canton de Vaud. b) aa) L’existence d’un acte illicite est un fait doublement pertinent (ATF 141 III 294 consid. 5.2). De tels faits sont déterminants non seulement pour la compétence du tribunal mais aussi pour le bien-fondé de l'action (ATF 142 III 466 consid. 4.1). En leur présence,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 TF 4A_484/2019 du 10 décembre 2019 consid. 5.1 et les arrêts cités). bb) La requérante se plaint en l’occurrence du débauchage de ses employés et du détournement de ses clients par les intimés. Comme déjà exposé, il n’y a pas lieu d’examiner les moyens des intimés à ce stade ; cela étant, ceux-ci ne contestent pas que certains anciens employés de la requérante et que certains des clients de cette dernière les ont suivis dans la société intimée. Il est en revanche pertinent que la requérante allègue diverses circonstances qui seraient, selon elle, déloyales. Il faut ainsi entrer en matière pour déterminer si les comportements reprochés aux intimés sont vraisemblablement constitutifs d’une violation des règles interdisant la concurrence déloyale. Il suffit sur ce point de constater la compétence locale des autorités vaudoises pour connaître des conclusions de la requérante fondées sur la LCD. cc) Le droit cantonal institue une juridiction compétente pour statuer en instance cantonale unique notamment sur les litiges relevant de la LCD lorsque la valeur litigieuse dépasse 30'000 fr. (art. 5 al. 1 let. d CPC). Dans le canton de Vaud, cette compétence échoit à la Cour civile (art. 74 al. 3 LOJV [loi vaudoise d'organisation judiciaire du 12 décembre 1979 ; BLV 173.01]). Au vu du montant estimé des conclusions de la requérante, la compétence de la Cour civile est en l’occurrence donnée. Enfin,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BLV 211.01]), soit notamment en matière de mesures provisionnelles (art. 248 let. 2 CPC). c) aa) La requérante invoque également des fondements contractuels (art. 319 ss CO) à l’appui de ses prétentions à l’encontre des intimés. Si, selon l’art.</w:t>
      </w:r>
    </w:p>
    <w:p>
      <w:r>
        <w:rPr>
          <w:b/>
        </w:rPr>
        <w:t>E. 5</w:t>
      </w:r>
    </w:p>
    <w:p>
      <w:r>
        <w:t>CPC, la Cour civile, instance cantonale unique, ne peut pas devoir juger de prétentions ayant un fondement contractuel,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Bohnet et alii , op. cit., n. 5 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et alii , op. cit.,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 pp. 534 ss). Selon la jurisprudence, afin de déterminer le for ou la compétence matérielle d'ensemble, il convient, ratione loci ,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bb) En l’occurrence, force est d’admettre qu’il n’y a qu’un seul objet de litige, à savoir un conglomérat de faits unique, portant sur les facettes externes et internes de la relation qui liait les parties. Un seul tribunal doit donc connaître d’un tel litige. c) Au vu de ce qui précède, le juge délégué de la cour de céans est compétent pour examiner les prétentions de la requérante, tant sous l'angle de la loi contre la concurrence déloyale à laquelle se rattachent la majorité des considérations de cette dernière, que sous celui des art. 319 ss CO. III. a) La requérante fait valoir que les pièces 132 à 134 déposées par les intimés lors de l’audience du 27 septembre 2022 l’ont été tardivement au regard de l’art. 229 CPC. b) L’art. 229 CPC règle l’invocation de faits et moyens de preuve nouveaux au cours des débats principaux de première instance. Il distingue deux situations en envisageant d’abord une partie ayant eu l’occasion d’introduire des novas dans un deuxième échange d’écritures ou des débats d’instruction ; son premier alinéa pose alors des conditions limitant l’admissibilité de faits et moyens de preuve nouveaux en distinguant à cet égard les novas proprement dits (les faits et moyens de preuve nouveaux sont postérieurs à l'échange d'écritures ou ont été découverts postérieurement) et les novas improprement dits (les faits et moyens de preuve nouveaux existaient avant la clôture de l'échange d'écritures mais ne pouvaient être invoqués antérieurement bien que la partie s'en prévalant ait fait preuve de la diligence requise). Au contraire, pour une partie n’ayant pu compléter ses allégations avant les premières plaidoiries, l’alinéa 2 permet librement les faits et moyens de preuve nouveaux à l’ouverture de celles-ci selon le principe du droit à une deuxième chance. Enfin, l’alinéa 3 autorise sans limite les novas jusqu’aux délibérations dans les causes soumises à la maxime inquisitoire (Tappy et alii , CPC Commenté, 2 e éd., Bâle 2016, n. 1 ad art. 229 CPC) . Selon la doctrine, l’application de cette disposition dans les procès en procédure sommaire est difficile, en particulier son alinéa 2, puisqu’il s’agit d’une procédure qui ne connaît en principe ni deuxième échange d’écritures, ni débats d’instruction, ni même souvent débats principaux. Or, les règles de la procédure ordinaire ne s’appliquent pas à d’autres procédures non seulement en cas de disposition légale contraire, mais aussi lorsque ces règles ne seraient manifestement pas adaptées. Aussi, l’art. 229 al. 1 et 2 CPC ne peut pas s’appliquer en procédure sommaire, où des faits et moyens de preuve nouveaux doivent être toujours librement invocables jusqu’aux délibérations (Tappy et alii , op. cit., n. 30 ad art. 229 CPC) . c) En l’espèce, dans la mesure où la procédure sommaire s’applique au présent procès, les pièces 132 à 134, qu’il s’agisse de faits et moyens de preuve nouveaux admissibles ou non, n’ont pas été déposées tardivement et elles peuvent donc être prises en considération. IV. a) Les intimés font valoir que les pièces 14, 20 et 21 produites par la requérante ont été obtenues illicitement : la pièce 14 en accédant à leur messagerie électronique qu’ils utilisaient lorsqu’ils travaillaient pour la requérante, et les pièces 20 et 21 parce qu’il s’agit de photographies d’eux prises à leur insu. b)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(ATF 140 III 6 consid. 3.1). Toutefois, lorsqu’il n’existe pas de contestation des parties sur l’existence du fait prouvé par la pièce litigieuse, la question de savoir si dite pièce a été obtenue de manière illicite au sens de l’art. 152 al. 2 CPC est superflue (TF 5A_238/2017 du 16 octobre 2017 consid. 4.2). S’agissant de correspondances électroniques liées aux affaires, le Tribunal fédéral a admis que la société anonyme doit conserver l'accès à la correspondance électronique liée aux affaires que l’employé a tenue dans le cadre de son activité pour la société anonyme, même après la fin des rapports de travail. Selon notre Haute Cour, on ne peut pas y voir un acte d'acquisition illicite, d'autant plus qu'en cas de protection par mot de passe en ce qui concerne la correspondance commerciale, il faut partir du principe que celle-ci doit empêcher l'accès de personnes non autorisées et non l'accès de l'employeur. Le cas est toutefois différent lorsque l'employeur se procure, avec l'aide d'un spécialiste en informatique, l'accès à un dossier privé protégé par un mot de passe, afin d'utiliser les e-mails qu'il contient dans un procès (TF 4A_633/2020 du 24 juin 2021 consid. 2.4.3). c) En l'espèce, il n’est pas nécessaire d’examiner la pertinence des pièces 20 et 21, puisque les intimés ont admis avoir rencontré les personnes identifiées sur les photographies, ceci aux dates alléguées (cf. interrogatoires des intimés X.________ et K.________ ad all. 42 et 43). S’agissant de la pièce 14 produite par la requérante, la question de sa provenance illicite peut rester ouverte dans la mesure où la requête de mesures provisionnelles doit de toute manière être rejetée pour les motifs exposés ci-dessous.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et alii ,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et alii , op. cit., n. 4 ad art. 261 CPC et les références citées; TF 4A_420/2008 du 9 décembre 2008 consid. 2. 3 et les références citées). Quant au bien-fondé juridique de la prétention du requérant, il fera l’objet d’un examen sommaire; en effet, vu la rapidité inhérente à la procédure de mesures provisionnelles, il n’est pas possible d’examiner de manière complète et approfondie tous les problèmes juridiques qui se posent (ATF 131 III 473 consid. 2; TF, in SJ 2006 I 371; TF 5P.285/2000 du 14 septembre 2000 consid. 2c; TF 5P.422/2005 consid.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et alii ,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 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 intellectuelle et de concurrence déloyale, in Sic! 2005 pp. 339 ss, spéc. p. 351 et les références citées). d) L'octroi de mesures provisionnelles suppose aussi l'urgence. Cette notion, qu'on rattache parfois à celle de préjudice difficilement réparable (Bohnet et alii ,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(Code civil suisse du 10 décembre 1907;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et alii , op. cit., n. 11 ad art. 262 CPC; Hohl, Procédure civile, nn. 1737 et 1826 et les références citées). VI. La requérante prétend que les intimés ont débauché certains de ses employés et de ses clients, et qu’ils offrent des services concurrentiels à son activité par le biais de la société intimée. Selon elle, les intimées K.________ et F.________ auraient violé leur obligation de fidélité (art. 321a CO) ainsi que la clause de prohibition de faire concurrence figurant dans leurs contrats de travail, et les conditions des art. 2 et 4 let. c LCD seraient en outre réunies s’agissant de tous les intimés à la procédure. Elle conclut à ce qu’interdiction soit faite aux intimés de démarcher tout collaborateur ou tout employé de la requérante (conclusion II), ainsi que tout client ou tout partenaire commercial de cette dernière (conclusion III), qu’interdiction soit faite aux intimées K.________ et F.________ d’exercer l’activité de services relatifs à la plateforme Microsoft Dynamics 365 ERP ainsi que celle liée à la migration de systèmes ERP vers des serveurs externes en cloud (conclusion IV) et qu’ordre soit donné aux intimés d’inactiver l’accès au site web de la société intimée (conclusion 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 LCD (TF 4A_371/2010 du 29 octobre 2010 consid. 8.1; ATF 133 III 431 consid. 4.1 et les références citées).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w:t>
      </w:r>
    </w:p>
    <w:p>
      <w:r>
        <w:rPr>
          <w:b/>
        </w:rPr>
        <w:t>E. 8</w:t>
      </w:r>
    </w:p>
    <w:p>
      <w:r>
        <w:t>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 4 CO, 4 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En outre,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La limite entre les préparatifs admissibles et un véritable détournement de la clientèle n'est pas toujours facile à tracer (TF 4A_116/2018 du 28 mars 2019 consid. 3.1.2). ee) Selon la jurisprudence constante du Tribunal fédéral en matière de clauses de prohibition de concurrence,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(TF 4A_205/2021 du 20 décembre 2021 consid. 4.2 ; ATF 138 III 67 consid. 2.2.1 ; TF 4A_116/2018 consid. 4.1, SJ 2019 I pp. 463 ss). Il en est de même lorsque le client était déjà un client de l’employé avant que celui-ci rejoigne l’employeur. En effet, la clause de non-concurrence ne s’applique qu’aux clients de l’employeur avant l’engagement de l’employé auprès de celui-ci et à ceux qui ont été acquis par la suite (TF 4A_205/2021 du 20 décembre 2021 consid. 4.1).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 tel employé n’a pas à être examiné une nouvelle fois, sous l’angle du droit de la concurrence déloyale, en lien avec la perte de clientèle subséquente. b) En l’espèce, l’intimée K.________ (experte en finance D365 et active dans le domaine depuis plus de quinze ans), l’intimée F.________ (au bénéfice de vingt ans d’expérience dans le domaine des ressources humaines dans le secteur informatique) et l’intimé X.________ (actif dans l’industrie IT depuis trente ans et spécialisé dans les services d’intégration ERP &amp; CRM Microsoft) ont été engagés par la requérante, société constituée le 9 juillet 2018, par contrats de travail signés respectivement les 7 juin, 21 août et 9 octobre 2018. Les intimés se connaissaient déjà puisqu’ils avaient tous travaillés auparavant durant la même période (de 2008 à 2018) pour les mêmes sociétés dans le domaine de la fourniture de services numériques, parmi lesquels l’implémentation du progiciel Microsoft Dynamics 365. Ils entretenaient déjà des relations amicales entre eux, ainsi qu’avec de nombreux employés et clients qui les ont suivis lors de leur engagement auprès de la requérante en 2018. Les contrats de travail signés par les intimées K.________ et F.________ comprenaient une clause de prohibition de faire concurrence (activité concurrente et débauchage d’employés ou de clients), alors que le contrat de travail de l’intimé X.________ n’en prévoyait pas. S’agissant de la clause figurant dans les contrats des intimées, elle ne comportait aucune limite quant au lieu, elle ne réservait pas le droit de la requérante de demander la cessation d’une éventuelle contravention, ni ne prévoyait d’indemnisation financière. Il ressort de l’état de fait que des tensions sont peu à peu apparues au sein de la requérante et que le climat de travail s’est dégradé. Les décisions prises par P.________, notamment s’agissant des responsabilités qui ont été retirées à l’intimé X.________, ont créé de l’inquiétude et de l’incompréhension auprès des collaborateurs de la société, dont certains s’étaient en outre sentis rabaissés par certaines expressions utilisées à leur égard par P.________. L’atmosphère au travail était telle que l’intimé X.________ a proposé à P.________ d’entreprendre un processus de médiation au début de l’année 2022 et qu’il a même sollicité les services d’un spécialiste de la santé au travail pour une détection des risques psychosociaux au sein de la société au mois d’avril 2022. Il est établi que des rencontres ont eu lieu entre plusieurs employés de la requérante durant cette période difficile, notamment après la suspension des intimés par la requérante le 13 juin 2022. Les collaborateurs étaient en effet dans l’incompréhension et ils s’inquiétaient des conséquences de ces suspensions dans la gestion courante de la société (paiements et administration des ressources humaines), ainsi que dans le suivi des projets en cours auprès des clients et prospects. Les intimés ont démissionné les 16 et 20 juin 2022 et la requérante a résilié leurs contrats de travail avec effet immédiat par courriers des 23 juin, 5 juillet et 22 juillet 2022. Si de nombreuses démissions d’employés ont suivi aux mois de juin et juillet 2022, il ne ressort pas de l’instruction que les intimés auraient organisé des réunions sur leur temps de travail et dans les infrastructures de la société requérante afin de fomenter une opération planifiée et systématique de débauchage de grande envergure auprès des employés de cette dernière, contrairement à ce que la requérante allègue. Il apparaît bien plutôt que les changements de stratégies et les restructurations au sein de la société, ainsi que la décision de suspendre les intimés de leurs postes ont affecté la motivation et la confiance de nombreux employés qui, soit travaillaient déjà avec les intimés avant l’engagement de ceux-ci par la requérante, soit avaient noué des relations personnelles voire amicales avec les intimés durant leur activité pour la requérante, soit avaient déjà décidé pour d’autres motifs de mettre un terme à leur contrat de travail. Il n’est pas non plus établi que les intimés auraient incité des employés à violer leurs contrats de travail ou auraient incité les employés démissionnaires à résilier leurs contrats de travail en violation de leurs obligations contractuelles. Il convient au contraire de relever que les employés concernés ont résilié leurs contrats en bonne et due forme, puisqu’ils ont respecté les délais de congé ordinaires. Il n’est pas non plus rendu vraisemblable que les intimés aient eu la volonté de nuire à la requérante en la transformant en « coquille vide », ni qu’ils aient eu une telle inimitié envers P.________ qu’ils aient ressenti une envie de vengeance à son encontre en débauchant les employés ou les clients de la requérante. S’agissant des clients de la société, il apparaît que la plupart des clients cités par la requérante dans la présente procédure étaient déjà des clients des intimés avant leur engagement par la requérante et qu’ils les ont suivis lorsqu’ils sont partis pour la rejoindre en 2018. Pour les autres, la requérante échoue à démontrer quels clients seraient concernés et quelles seraient les circonstances de la perte de ceux-ci. La question de la validité des clauses de prohibition de faire concurrence figurant dans les contrats de travail des intimées K.________ et F.________ ainsi que dans la convention d’actionnaires signée en 2021 peut être laissée ouverte, dès lors qu’il n’est pas douteux que les prestations proposées ont une forte caractéristique personnelle et qu’il est courant, dans ce domaine, que les clients suivent leur personne de contact lorsque celle-ci change de structure. C’est ce qui ressort d’ailleurs de l’instruction puisque, hormis les clients qui avaient déjà suivis les intimés lors de leur engagement au sein de la société requérante en 2018, certains clients acquis durant l’activité des intimés pour celle-ci ont refusé de poursuivre leur projet avec la requérante si les intimés n’en faisaient pas partie. S’agissant de la société intimée, son but social est la commercialisation de solutions et de produits d’entreprise active dans le domaine de la technologie d’information (IT), ainsi que toutes les prestations de services dans le domaine des systèmes d’intégration. Elle propose, tout comme la requérante, des services d’implémentation de la plateforme Microsoft Dynamics 365, de migration de systèmes vers le cloud , de développement de solutions, d’assistance et de consultance. Or, ce genre de services est largement proposé par les entreprises qui fournissent des services numériques, parmi lesquels l’implémentation de Microsoft Dynamics 365. En outre, lorsque la société intimée a été constituée le 5 juillet 2022, les intimés avaient tous déjà démissionné et la requérante avait même résilié les contrats des intimés F.________ et X.________ avec effet immédiat. Or, même dans le cas où un employé est encore lié par un contrat de travail à son employeur, la jurisprudence considère qu’il est en soi légitime que l’employé qui envisage de se mettre à son compte ou de fonder avec d'autres une entreprise concurrente, puisse entreprendre des préparatifs avant que le contrat de travail ne prenne fin, tout en respectant son devoir de fidélité qui lui interdit de commencer à concurrencer son employeur, de débaucher des employés ou de détourner de la clientèle avant la fin de la relation de travail. En l’occurrence, comme développé plus haut, ces conditions ont été respectées par les intimés. Au vu de ce qui précède, la requérante n’a donc pas réussi à démontrer au stade des mesures provisionnelles que les intimés auraient violé leurs obligations contractuelles ou que leur comportement pouvait être qualifié de déloyal au sens de la LCD. Elle n’a pas établi, au degré requis au stade des mesures provisionnelles, qu'elle serait titulaire d’une prétention au fond, faute notamment de tout acte de concurrence déloyale pouvant être imputé aux intimés. Il n'y a dès lors pas lieu d'examiner si les autres conditions de l'art. 261 CPC sont réunies. La requête de mesures provisionnelles déposée par la requérante le 2 août 2022 doit donc être rejetée. VII. Les frais judiciaires de la présente ordonnance sont arrêtés à 5’577 fr. 30, soit 5'000 fr. à titre d’émolument des mesures provisionnelles (art. 28 et 31 du tarif du 28 septembre 2010 des frais judicaires civils ; BLV 270.11.5 ; ci-après : TFJC) et 577 fr. 30 à titre de frais d’interprète.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 la requérante, soit 10’000 fr. à titre de défraiement de leur conseil et 500 fr. de débours (art. 6 et 19 TDC). VIII. Le présent jugement, rendu par une instance cantonale unique au sens de l'art. 5 CPC est motivé d'office (Kriech, ZPO-Kommentar, 2e éd., n. 7 ad art. 239 CPC; Steck/Brunner, Basler Kommentar, 3 e éd., n. 10 ad art. 239 CPC). * * * * * Par ces motifs, le juge délégué, statuant à huis clos et par voie de mesures provisionnelles : I. Rejette la requête de mesures provisionnelles déposée le 2 août 2022 par la requérante B.________ à l'encontre des intimés X.________, F.________, K.________ et S.________. II. Arrête les frais de la procédure provisionnelle à 5’577 fr. 30 (cinq mille cinq cent septante-sept francs trente) pour la requérante. III. Condamne la requérante à verser aux intimés, solidairement entre eux, le montant de 10’500 fr. (dix mille cinq cents francs), à titre de dépens. Le juge délégué : La greffière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