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2022 / 1 vom 8. April 2022</w:t>
      </w:r>
    </w:p>
    <w:p>
      <w:r>
        <w:t>VD Tribunal cantonal, 2022-04-08, FR</w:t>
      </w:r>
    </w:p>
    <w:p>
      <w:r>
        <w:rPr>
          <w:b/>
        </w:rPr>
        <w:t xml:space="preserve">Quelle: </w:t>
      </w:r>
      <w:r>
        <w:t>https://mcp.opencaselaw.ch/entscheid/vd_findinfo_MP___2022___1</w:t>
      </w:r>
    </w:p>
    <w:p>
      <w:r>
        <w:t>FR: VD_FINDINFO MP / 2022 / 1 du 8 avril 2022</w:t>
      </w:r>
    </w:p>
    <w:p>
      <w:r>
        <w:t>IT: VD_FINDINFO MP / 2022 / 1 del 8 aprile 2022</w:t>
      </w:r>
    </w:p>
    <w:p>
      <w:pPr>
        <w:pStyle w:val="Heading2"/>
      </w:pPr>
      <w:r>
        <w:t>Regeste</w:t>
      </w:r>
    </w:p>
    <w:p>
      <w:r>
        <w:t>NOVA, PROTECTION DES MARQUES, CONCURRENCE DÉLOYALE, RISQUE DE CONFUSION | 29 CC, 956 al. 2 CO, 3 al. 1 let. b LCD, 3 al. 1 let. d LCD, 3 al. 1 let. e LCD, 4 let. a LCD, 5 LCD, 264 CPC (CH), 267 CPC (CH), 90 CPC (CH)</w:t>
      </w:r>
    </w:p>
    <w:p>
      <w:pPr>
        <w:pStyle w:val="Heading2"/>
      </w:pPr>
      <w:r>
        <w:t>Erwägungen</w:t>
      </w:r>
    </w:p>
    <w:p>
      <w:r>
        <w:rPr>
          <w:b/>
        </w:rPr>
        <w:t>E. 5</w:t>
      </w:r>
    </w:p>
    <w:p>
      <w:r>
        <w:t>ad art. 5 CPC). En effet, il n’y a pas de cumul d’action au sens de l’art. 90 CPC lorsqu’une seule et même prétention repose sur plusieurs fondements (délictuel et contractuel par exemple).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in Bohnet/Haldy/Jeandin/Schweizer/Tappy, op. cit., n. 4 ad art. 90 CPC). En outre, en vertu du principe jura novit curia ,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2012 I 523, sp. pp. 534 ss). Selon la jurisprudence, afin de déterminer le for ou la compétence matérielle d'ensemble, il convient, ratione loci , de se fonder sur la nature prépondérante du litige (ATF 137 III 311, rés. in JdT 2012 II 214). La question de la compétence matérielle au lieu du for doit en principe être résolue selon le droit cantonal d’organisation judiciaire. A défaut de règle spéciale, la solution dépendra là aussi de la nature prépondérante du litige. Ce caractère prépondérant doit s'apprécier, le cas échéant, sur la base des allégations des deux parties, sans qu'il y ait à privilégier un fondement expressément invoqué par le demandeur. Enfin, il appartient au droit cantonal de prescrire si l'autorité de jugement est composée d'un seul juge ou d'une autorité collégiale (Haldy, La nouvelle procédure civile suisse,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BLV 211.01]), soit notamment en matière de mesures provisionnelles (art. 248 let. d CPC). Au vu de ce qui précède, le juge délégué de la cour de céans est compétent ratione loci et ratione materiae pour examiner les prétentions de la requérante fondée sur les art. 55 al. 1 let. a et b LPM, 9 al. 1 let. a et b LCD, 956 CO et 29 al. 2 CC. III. Lors de l’audience de mesures provisionnelles qui s’est tenue le 8 mars 2022, les parties sont convenues de renvoyer l’audience à une date ultérieure et ont fixé, d’entente, un calendrier pour le deuxième échange d’écritures comprenant le dépôt d’une réplique par la requérante, le dépôt d’une duplique par les intimées et, pour le cas où la duplique comporterait de nouveaux allégués, le dépôt de déterminations sur duplique sans nouveaux allégués ni nouvelles pièces par la requérante. C’est ainsi que, le 18 mars 2022, la requérante a déposé une réplique et, le 31 mars 2022, les intimées ont déposé une duplique. Le 5 avril 2022, la requérante a déposé des déterminations sur les allégués de la duplique mais elle a également déposé des nova (all. 243 à 246 et pièces 94 à 97), ce à quoi les intimées se sont opposées lors de l’audience de mesures provisionnelles du 8 avril 2022. Au vu du calendrier fixé d’entente entre les parties, il ne sera pas tenu compte des nova du 5 avril 2022. Il convient au surplus de relever que dits nova, ainsi que les pièces offertes à titre de preuves des faits concernés, ne sont pas pertinents pour le jugement de la cause, tout comme les allégués des intimées (all. ad 61 ad 238, ad 62 ad 239, 97 et 98) auxquels ils répondent. IV. Lors de l’audience de mesures provisionnelles du 8 avril 2022, la requérante a soutenu que le juge de céans n’avait pas à instruire les allégués sur lesquels les intimées s’étaient déterminées en se rapportant aux pièces offertes à titre de preuve, dès lors qu’elles n’avaient alors pas « suffisamment contesté » ces allégations. Selon l’art. 150 al. 1 CPC, la preuve a pour objet les faits pertinents et contestés. D’après la jurisprudence fédérale (TF 4A_243/2018 du 17 décembre 2018 consid. 4.3.2), faute de contestation de l'allégation, le fait doit être considéré comme non contesté et, partant, il n'a pas à être prouvé. La doctrine considère, elle, qu’un aveu judiciaire doit être exprimé clairement et que tant qu’il n’y a pas d’aveu, le fait doit être tenu pour contesté, y compris en cas de défaut, sous réserve d’une règle d’inversion claire, qui n’existe pas dans le présent CPC (Schweizer in Bohnet/Haldy/Jeandin/Schweizer/Tappy, op. cit., nn. 4 et 12 ad art. 150 CPC). En l’espèce, les intimées ont admis de nombreux allégués, en ont contesté d’autres en apportant parfois des précisions, et se sont rapportées aux pièces produites pour les allégués restants. Dans ces derniers cas, il apparaît qu’elles ont alors admis le contenu desdites pièces, sans forcément admettre les allégués, qu’elles auraient alors simplement admis sinon. Il convient dès lors d’examiner les pièces concernées et d’en intégrer le contenu pertinent dans la présente ordonnance de mesures provisionnelles. V. a) La norme générale de l’art. 261 CPC réglemente les conditions d’octroi des mesures provisionnelles. Elle a toutefois pour vocation d’être complétée, dans la mesure nécessaire, par quelques législations spécifiques (p. ex. art. 65 LDA, 59 LPM, 38 LDes qui énumèrent les buts poursuivis par les mesures provisionnelles dans ces contextes spécifiques, tels qu’assurer la conservation des preuves, déterminer la provenance des objets confectionnés, etc… ; Jeandin, Mesures provisionnelles en matière civile : première et seconde instance in Bohnet/Dupont (éd.), Les mesures provisionnelles en procédures civile, pénale et administrative, Bâle 2015, nn. 36-37, pp. 18-19). b) A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que cette atteinte risque de lui causer un préjudice difficilement réparable (let. b). aa) 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Les conditions d’octroi des mesures provisionnelles] in sic! 2005 pp. 339 ss spéc. p. 344 et les références citées en notes infrapaginales 63 à 64 ; Fornage/Chabloz, Commentaire romand Loi contre la concurrence déloyale, 2017, n. 18). Si, de son côté, l’intimé rend vraisemblable qu’il s’est comporté de manière compatible avec les intérêts du requérant et qu’il n’a pas d’intentions qui leur soient contraires, le requérant perd tout intérêt à être protégé (Sprecher in Spühler et alii (éd.), Basler Kommentar Schweizerische Zivilprozessordnung, 2 e éd. 2013, n. 22 ad art. 261 CPC). ab)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(Message CPC, FF 2006, p. 6961; Bohnet in Bohnet/Haldy/Jeandin/Schweizer/Tappy, op. cit.,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 e éd.,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perte de clientèle; Schlosser, Les conditions d’octroi des mesures provisionnelles, p. 349 et les références citées en note 142 ; Fornage/Chabloz, op. cit., n. 20).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La procédure sommaire, n. 86). Le préjudice difficilement réparable doit découler de l’atteinte subie, ce qui implique l’existence d’un lien de causalité adéquat entre les deux (Sprecher, op. cit., n. 10 ad art. 261 CPC). c)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in Bohnet/Haldy/Jeandin/Schweizer/Tappy, op. cit.,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op. cit., n. 71 ad art. 261 CPC). Même à l’aune de la simple vraisemblance, la procédure de mesures provisionnelles reste soumise aux fardeaux de l’allégation (art. 55 al. 1 CPC) et de la preuve (art. 8 CC), chaque partie devant en principe prouver les faits qu’elle allègue pour en déduire son droit (art. 255 CPC a contrario ; Jeandin, op. cit., n. 67 p. 30). d) Lorsque les conditions de l’art. 261 CPC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 Le tribunal est toutefois lié par la requête des parties (maxime de disposition [art. 58 al. 1 CPC]; cf. Jeandin, op. cit., n. 67 p. 30). e) Les mesures requises doivent respecter le principe de la proportionnalité (Sprecher, op. cit., n.</w:t>
      </w:r>
    </w:p>
    <w:p>
      <w:r>
        <w:rPr>
          <w:b/>
        </w:rPr>
        <w:t>E. 5.3</w:t>
      </w:r>
    </w:p>
    <w:p>
      <w:r>
        <w:t>non publié à l'ATF 130 III 478; ATF 122 III 369 consid. 1). A cet égard, ne sont généralement pas suffisants les éléments descriptifs qui ont trait à la forme juridique ou au domaine d'activité de l'entreprise (TF 4C.197/2003 du 5 mai 2004 consid. 5.3 non publié à l'ATF 130 III 478; ATF 100 II 224 consid. 3; ATF 97 II 153 consid. 2b-g; TF 4C.206/1999 consid. 2a, publié in Sic! 5/2000 pp. 399 ss). Il a ainsi été jugé que l'ajout "Frauenfeld", en raison de la faible force distinctive de cette indication de lieu, ne présentait pas une individualisation suffisante à l'endroit de la raison "Merkur Immobilien AG" (ATF 88 II 293 consid. 3). Il en va de même de l'adjonction "Finanz" à propos de la raison sociale "Aussenhandels AG" (ATF 100 II 224 consid. 3). Il a encore été admis qu'il n'était pas suffisant de faire précéder de l'article défini allemand "Die" le substantif "Wache", élément principal de la raison sociale plus ancienne "Wache AG"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(ATF 131 III 572, précité ; ATF 122 III 369 consid. 2b). La jurisprudence a précisé que s'il est vrai que les noms de personne sont considérés en principe comme des éléments frappants ou "forts", c'est-à-dire susceptibles d'individualiser l'entreprise, surtout s'ils sont mis à la première place de la raison de commerce, cela n'est pas le cas des noms usuels à l'exemple de "Martin", "Müller", etc. (TF 4C.120/2005 du 7 septembre 2005 consid. 4.1). d) Selon l’art. 29 CC, celui dont le nom est contesté peut demander au juge la reconnaissance de son droit (al. 1) ; celui qui est lésé par une usurpation de son nom peut intenter action pour la faire cesser, sans préjudice de tous dommages-intérêts en cas de faute et d’une indemnité à titre de réparation morale si cette indemnité est justifiée par la nature du tort éprouvé (al. 2). La personne concernée n'est protégée par la disposition précitée que si elle est lésée dans ses intérêts juridiques dignes de protection. L'usurpation du nom ne vise pas seulement l'utilisation du nom d'autrui dans son entier, mais aussi la reprise de la partie principale de ce nom s'il est ainsi créé un risque de confusion. Il n'est pas nécessaire que des confusions se soient effectivement produites. La protection du nom ne suppose pas davantage que des intérêts patrimoniaux aient été lésés; des intérêts purement idéaux sont également protégés. L'usage du nom d'autrui porte atteinte à un intérêt digne de protection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S’agissant d’un nom de domaine, ce qui est décisif pour juger du risque de confusion en cause, ce n'est pas le contenu du site mais bien l'adresse internet qui permet d'y accéder. C'est uniquement celle-ci qui éveille l'intérêt du public et lui donne l'espoir d'obtenir des informations conformes à l'association d'idées évoquée par le nom de domaine (ATF 128 III 353). e) La notion de risque de confusion est, pour l'essentiel, identique dans l'ensemble du droit des biens immatériels (TF 4C.120/2005 du 7 septembre 2005 consid. 3; TF 4C. 169/2005 du 5 septembre 2005 consid. 2; ATF 128 III 353 consid. 4, JdT 2002 I 517; ATF 126 III 239 consid. 3a, JdT 2000 I 543).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(TF 4A_617/2017 du 27 avril 2018 ; ATF 131 III 572; ATF 128 III 146 consid. 2a; ATF 127 III 160 consid. 2a et les références citées, JdT 2001 I 345; Troller, op. cit., p. 86).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consid. 5b). Que des erreurs soient effectivement survenues peut constituer un indice utile pour conclure à l’existence d’un risque de confusion (TF 4A_315/2009 précité et la jurisprudence citée). En cas de collision entre divers droits, il convient de peser les intérêts en présence, afin de parvenir à la solution la plus équitable possible (ATF 128 III 353 consid. 3 ; ATF 126 III 239 consid. 2c ; ATF 125 III 91 consid. 3c et les arrêts cités). f) i) En l'espèce, la requérante « G.________ », est inscrite au registre du commerce du canton de [...] depuis le 20 mai 2019 et son but est la « création, organisation et gestion d’un établissement privé d’enseignement supérieur ». Elle a mis en œuvre conjointement avec des établissements universitaires partenaires [...] un programme « Droit international et droit comparé » qu’elle offre à des étudiants [...] en Suisse, à [...]. Elle a déposé auprès de l’IPI les marques suivantes : la marque verbale et figurative « G.________ » no [...] le 18 juin 2020 (enregistrée le 6 novembre 2020), la marque combinée « [...] G.________ » no [...] le 27 avril 2021 (enregistrée le 15 juillet 2021 et dont la priorité en [...] a été revendiquée par la requérante le 14 septembre 2021) et la marque « [...] » no [...] le 16 novembre 2021 (enregistrée le 25 novembre 2021). Les trois marques ont été enregistrées en classe 41 relative notamment à l’éducation, l’enseignement supérieur et la formation continue. Les intimées n’ont pas formé d’opposition au dépôt des marques de la requérante. Il ressort de l’état de fait que la marque verbale et figurative « G.________ » figure sur le site internet de la requérante (…) dont le nom de domaine a été enregistré le 22 mai 2019, ainsi que sur les contrats d’inscription des étudiants et sur les cartes de visite de la société. En outre, de nombreux documents de la requérante utilisent le mot « [...] » comme acronyme de « G.________ ». ii) Le 15 mars 2021, le [...] a déposé des demandes d’enregistrement auprès du Service fédéral pour la propriété intellectuelle de la Fédération de [...] pour les marques no [...] (demande no [...]) et no [...] (demande no [...]) qui comprennent notamment l’acronyme « [...] ». Dites marques ont été enregistrées respectivement les 14 et 28 décembre 2021. Lors des assemblées générales des sociétés [...] et [...] du 14 décembre 2021, ces sociétés ont modifié leurs raisons sociales en respectivement « H.________ » et « Q.________ », ainsi que leurs sièges sociaux désormais situés à [...] et leurs buts sociaux relatifs désormais à la fourniture de services de formation éducative supérieure internationale dans les domaines du droit international notamment. Les publications concernées dans la FOSC datent du</w:t>
      </w:r>
    </w:p>
    <w:p>
      <w:r>
        <w:rPr>
          <w:b/>
        </w:rPr>
        <w:t>E. 10</w:t>
      </w:r>
    </w:p>
    <w:p>
      <w:r>
        <w:t>ad art. 261 CPC; Jeandin, op. cit., n. 46 p. 21). La mesure prononcée doit être proportionnée au risque d'atteinte et tenir compte des intérêts de l'adversaire: le juge doit se livrer à une pesée des intérêts et prendre en compte le droit présumé du requérant à la mesure conservatoire et les conséquences que celle-ci entraînerait pour le requis (Bohnet, in Bohnet/Haldy/Jeandin/Schweizer/Tappy, op. cit., n. 17 ad art. 261 CPC; Huber, in Sutter-Somm/Hasenböhler/Leuenberger, Kommentar zur Schweizerischen Zivilprozessordnung (ZPO), n. 23 ad art. 261 CPC).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VI. a) Les intimées invoquent l’application de l’art. 4 LPM au motif que les marques litigieuses sur lesquelles la requérante fonde ses prétentions à leur encontre ont été enregistrées par [...] au nom de la requérante, dans le cadre de l’exécution du mandat octroyé par le [...], à l’insu de ce dernier. Selon elles, les marques concernées sont dès lors nulles, puisqu’elles ont été déposées pendant la durée du contrat signé le 23 décembre 2018 ou peu après la résiliation de cet accord, et que le [...] n’avait pas donné son consentement pour l’enregistrement de ces marques. b) Aux termes de l’art. 4 LPM, les marques enregistrées sans le consentement du titulaire au nom d’un agent, d’un représentant ou d’un autre utilisateur autorisé ne sont pas protégées ; il en va de même des marques qui n’ont pas été radiées du registre, bien que le titulaire ait révoqué son consentement. Cette disposition vise à lutter contre l’appropriation illicite d’une marque suisse (ou d’une partie suisse de marques internationales) commise par une personne liée au titulaire légitime de celle-ci dans le cadre de leurs relations commerciales, notamment dans des situations internationales dans lesquelles un titulaire étranger est confronté à l’enregistrement d’une marque par un partenaire d’affaires local intervenu sans son autorisation. Elle a pour conséquence que les marques concernées ne sont pas protégées et ne peuvent donc pas déployer d’effet. L’art. 4 LPM n’est pas applicable en cas d’enregistrement non autorisé d’autres signes distinctifs qu’une marque, notamment un nom de domaine ou une raison sociale. Il s’applique à tout utilisateur autorisé de la marque qui a un devoir de loyauté envers le titulaire légitime de celle-ci et dont l’autorisation d’usage a été intégrée à un contrat ayant pour objet la sauvegarde des intérêts commerciaux du titulaire et une autorisation d'utiliser la marque d'autrui. La qualification juridique du contrat liant la victime au titulaire de la marque n’est pas déterminante. La protection de l’art. 4 LPM est invocable en cas d’identité entre le droit préférentiel du titulaire lésé et la marque litigieuse ou en cas de similarité entre ces signes, par exemple parce qu’un élément aurait été ajouté à la marque usurpée. Dans un tel cas, la similarité entre les signes – et ainsi la sphère de protection de la marque prioritaire – doit se juger en fonction du critère de l’impression d’ensemble laissée par les signes concernés qui est applicable en matière de motifs relatifs d’exclusion de la protection (art. 3 al. 1 LPM). L’art. 4 LPM s’applique dans les deux situations suivantes : lorsque la marque est enregistrée sans le consentement du titulaire lésé et lorsque le titulaire lésé a initialement consenti au dépôt de la marque mais que ledit consentement est ultérieurement révoqué, soit au plus tard au moment de la résiliation du contrat lui-même. S’agissant des marques déposées après la fin des relations contractuelles, l’art. 4 LPM est applicable pour autant qu’il y ait une certaine proximité temporelle entre la fin du contrat et le dépôt de la marque de sorte que ce dépôt puisse être considéré comme violant le devoir de loyauté post-contractuelle (de Werra, Commentaire romand Propriété intellectuelle, nn. 1, 12 ss ad art. 4 LPM ; TF 4A_128/2013 du 30 septembre 2013). c) En l’espèce, il ressort de l’état de fait que le 23 décembre 2018, le [...] a conclu un contrat avec la société [...], devenue [...]. Le contrat prévoyait que le premier chargeait la seconde de créer la requérante, notamment en négociant les accords nécessaires avec les universitaires partenaires [...], en établissant le programme d’études, en réalisant le logo et le site web, en mettant en place la logistique, en engageant des professeurs, ainsi qu’en organisant la campagne de recrutement des étudiants. Le contrat restait en vigueur durant trois ans et était prolongé tacitement, sauf résiliation par l’une des parties au plus tard six mois avant son expiration. Dans ce cadre, la société [...] et la requérante ont été créées et inscrites au registre du commerce de [...], respectivement les 26 mars et 20 mai 2019. Un programme d’enseignement a été mis en œuvre conjointement entre des établissements universitaires [...] et la requérante. Cette dernière a déposé auprès de l’IPI la marque verbale et figurative « G.________ » no [...] le 18 juin 2020, la marque combinée « [...] G.________ » no [...] le 27 avril 2021, et la marque « [...] » no [...] le 16 novembre 2021. Entre-temps, le [...] a déposé une demande d’enregistrement de la marque « [...] » en [...] le 15 mars 2021 et, le 21 septembre 2020, la société [...] a signé un contrat avec la requérante par lequel cette dernière chargeait la société d’organiser les travaux relatifs à l’organisation du processus éducatif pour les étudiants bacheliers de la requérante. Durant l’été 2021, le [...] a informé la société [...] de son intention de résilier le contrat signé le 23 décembre 2018. Il a confirmé sa volonté de résilier dit contrat par courrier du 11 octobre 2021. Les parties admettent que la requérante, le [...], la société [...] et la société [...] sont toutes des entités juridiques distinctes (all. 185 et 204 admis). Dans son courrier du 30 juillet 2021 adressé au [...], la société [...] a fait état des différentes démarches effectuées dans le cadre de l’accord du 23 décembre 2018 qui comprenaient notamment la création de la requérante et de la société [...], ainsi que l’enregistrement des marques litigieuses. Ces étapes faisaient toutefois partie des termes du contrat qui liait la société [...] au [...] exclusivement. Selon le principe de la relativité des conventions, le contrat ne déploie en principe ses effets qu'entre les parties, et un tiers qui n’est pas partie au contrat n’est pas le débiteur de la prestation convenue (TF 4A_417/2011 du 30 novembre 2011). Le contrat signé le 23 décembre 2018 n’a donc d’effet qu’entre le [...] et la société [...] . Il apparaît que la requérante n’est pas partie au contrat concerné et qu’elle n’a par ailleurs jamais été dans une relation contractuelle directe avec le [...], ce que les intimées admettent (all. 203 admis). Il en est de même des intimées. Tout au plus, le [...] pourrait-il actionner la société [...]. Toutefois, aucun de ces signataires au contrat n’est partie à la présente procédure. Il n’y a donc pas lieu de s’attarder sur la qualification juridique des relations contractuelles (mandat, agence, société simple, joint venture) entre ces deux entités étrangères au présent procès. Dans la mesure où l’application de l’art. 4 LPM suppose l’existence d’un contrat entre le titulaire légitime d’une marque et un utilisateur autorisé, mais qu’il n’est pas rendu vraisemblable qu’il existe en l’espèce une relation contractuelle qui lierait la requérante au [...], voire aux intimées, les conditions de cette disposition ne sont pas réalisées. On ne voit au surplus pas en quoi le comportement de la requérante vis-à-vis du [...] ou des intimées, avec lesquels elle n’est pas liée contractuellement, serait « manifestement abusif » comme se contentent de le prétendre les intimées. VII. a) La marque est un signe propre à distinguer les produits ou les services d'une entreprise de ceux d'autres entreprises (art. 1 al. 1 LPM). Peuvent en particulier constituer des marques les mots, les lettres, les chiffres, les représentations graphiques, les formes en trois dimensions, seuls ou combinés entre eux ou avec des couleurs (art. 1 al. 2 LPM). Le droit à la marque appartient à celui qui la dépose le premier (art. 6 LPM). La protection est accordée pour autant que la marque soit utilisée en relation avec les produits ou les services enregistrés (art. 11 al. 1 LPM). Le droit à la marque confère au titulaire le droit exclusif de faire usage de la marque pour distinguer les produits ou les services enregistrés et d'en disposer (art. 13 al. 1 LPM). L'ayant droit peut interdire à des tiers l'usage des signes dont la protection est exclue en vertu de l'art. 3 al. 1 LPM (art. 13 al. 2 LPM), soit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Selon l’art.</w:t>
      </w:r>
    </w:p>
    <w:p>
      <w:r>
        <w:rPr>
          <w:b/>
        </w:rPr>
        <w:t>E. 13</w:t>
      </w:r>
    </w:p>
    <w:p>
      <w:r>
        <w:t>al. 2 LPM, l’ayant droit peut en particulier interdire à des tiers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et de l’apposer sur des papiers d’affaires, de l’utiliser à des fins publicitaires ou d’en faire usage de quelqu’autre manière dans les affaires (let. e). Ainsi, la marque est protégée contre toute forme d'utilisation distinctive mais uniquement en relation avec des produits ou services similaires à ceux pour lesquels elle est enregistrée (principe de spécialité; cf. Troller, op. cit., p. 94; David, Basler Kommentar, Markenschutzgesetz, Muster- und Modellgesetz, Bâle 1994, n. 5 ad art. 3 LPM). Des marchandises ou des services sont similaires si les consommateurs potentiels sont amenés à penser que les produits en cause proviennent d'une seule et même entreprise (ATF 123 III 189 consid. 3a, JdT 1997 I 237; ATF 87 II 107 consid. 1, JdT 1961 I 589 [rés.]). Les exigences posées quant à la similitude des produits ou services seront d'autant moins élevées que les signes en cause sont proches (ATF 128 III 96 consid. 2c, JdT 2002 I 491). En effet, plus les produits et services pour lesquels les marques sont enregistrées sont proches, plus il y a un risque de confusion et plus le signe postérieur devra se distinguer du signe antérieur pour exclure ce risque (TF 4A_617/2017 du 27 avril 2018 consid. 3.1.1). Les produits ou les services déterminants sont ceux qui sont inscrits au registre des marques; le mode d'utilisation concret de la marque est sans pertinence (Joller, in Markenschutzgesetz [MSchG], Noth/Bühler/Thouvenin [éd.], Berne 2009, n. 235 ad art. 3 LPM). Pour évaluer le risque de confusion, il convient d'examiner l'impression d'ensemble qui se dégage, d'une part, du signe enregistré et, d'autre part, du signe distinctif litigieux. Le public visé n'ayant le plus souvent pas l'occasion de percevoir les deux signes en même temps et ne conservant qu'un souvenir de la marque antérieure, il convient de tenir compte des éléments caractéristiques des signes aptes à rester dans la mémoire de ce public, les éléments banals ou descriptifs n'ayant en principe qu'une faible influence sur l'impression d'ensemble des signes examinés (TF 4A_617/2017 du 27 avril 2018 consid. 3.1.1). L'art. 55 al. 1 LPM permet notamment à la personne qui subit ou risque de subir une violation de son droit à la marque de demander au juge civil de l'interdire si elle est imminente (let. a) ou de la faire cesser si elle dure encore (let. b). La personne habilitée à agir peut également requérir des mesures provisionnelles, notamment pour assurer à titre provisoire la prévention ou la cessation du trouble (art. 59 let. d LPM). b)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A teneur de l'art. 3 al. 1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déterminer si cela est le cas, le juge se fondera sur l'expérience générale de la vie et les circonstances particulières du cas (TF 4C.363/2005 du 27 mars 2006 consid. 4.1.2 et les références). L'art. 3 al. 1 let. d LCD qualifie de déloyal le comportement de celui qui «prend des mesures qui sont de nature à faire naître une confusion avec les marchandises, les œuvres,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p. 359 et les arrêts cités).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ou le fait de s'inspirer de la force distinctive et publicitaire d'une marque antérieure lorsque le signe postérieur transmet sans équivoque un message du type "remplacement de" ou "aussi bien que" (ATF 135 III 446 « Maltesers » consid. 7.1, JdT 2010 I 665). Selon l’art. 4 let. a LCD, agit de façon déloyale celui qui incite un client à rompre un contrat en vue d'en conclure un autre avec lui. La reprise des investissements d'autrui est prohibée de façon concrète aux art. 4 à 6 LCD (ATF 133 III 431 consid. 4.5, JdT 2008 I 34).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Quant à la notion de client, elle ne s’entend pas au sens étroit de consommateur final (ATF 114 II 91 4a/bb), mais englobe les acheteurs à quelque échelon de la chaîne de distribution que ce soit (David/Jacobs, Schweizerisches Wettbewerbsrecht, 5 e éd., n. 347), les agents économiques à n’importe quel échelon (Troller, op. cit., p. 362).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L’art. 9 al. 1 LCD permet à la personne qui, par un acte de concurrence déloyale, subit une atteinte dans sa clientèle, son crédit ou sa réputation professionnelle, ses affaires ou ses intérêts économiques en général ou qui en est menacé, de demander au juge de l'interdire si elle est imminente (let. a), de la faire cesser si elle dure encore (let. b) ou d’en constater le caractère illicite, si le trouble subsiste (let. c). c) Selon l’art. 956 CO, dès que la raison de commerce d’une société commerciale a été inscrite et publiée dans la Feuille officielle suisse du commerce, l’ayant droit en a l’usage exclusif (al. 1). Celui qui subit un préjudice du fait de l’usage indu d’une raison de commerce peut demander au juge d’y mettre fin et, s’il y a faute, réclamer des dommages-intérêts (al. 2). Sur la base de son droit d’exclusivité, le titulaire d’une raison de commerce antérieure peut donc agir contre le titulaire d’une raison postérieure et lui en interdire l’usage s’il existe un risque de confusion entre les deux raisons sociales (TF 4A_315/2009 du 8 octobre 2009 consid. 2.1; ATF 131 III 572 consid. 3). Est donc prohibé non seulement l'usage d'une raison de commerce identique à celle dont le titulaire a le droit exclusif, mais aussi l'utilisation d'une raison semblable, qui ne se différencie pas suffisamment de celle inscrite au point de créer un risque de confusion. Constitue un usage à titre de raison de commerce toute utilisation du signe distinctif qui se trouve en relation immédiate avec l'activité commerciale, comme par exemple l'emploi d'une enseigne (art. 48 de l'ordonnance du 7 juin 1937 sur le registre du commerce [ORC; RS 221.411]) reproduisant le signe en cause, l'inscription de celui-ci sur des papiers d'affaires à l'instar des catalogues, des listes de prix, des prospectus et des cartes de recommandation et l'utilisation du signe dans des répertoires d'adresses ou des annuaires téléphoniques (ATF 131 III 572 consid. 3).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(TF 4A_315/2009 précité et la jurisprudence citée; ATF 128 III 401 consid. 5, JdT 2002 I 509; ATF 127 III 160 consid. 2a). Si les entreprises en cause s’adressent au moins en partie au même cercle de clientèle, les différences dans leurs raisons de commerce devront être d’autant plus grandes, surtout si elles sont actives dans la même région, la même branche ou poursuivent le même but (Cherpillod, Commentaire romand Code des obligations II, n. 14 ad art. 951 CO). Il convient surtout de prendre en compte les éléments frappants que leur signification ou leur sonorité mettent particulièrement en évidence, si bien qu'ils ont une importance accrue pour l'appréciation du risque de confusion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l'art. 956 CO (ATF 128 III 224 consid. 2b).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(TF 4C.197/2003 du 5 mai 2004 consid.</w:t>
      </w:r>
    </w:p>
    <w:p>
      <w:r>
        <w:rPr>
          <w:b/>
        </w:rPr>
        <w:t>E. 18</w:t>
      </w:r>
    </w:p>
    <w:p>
      <w:r>
        <w:t>janvier 2022. Le droit d’utiliser le logo, qui comprend l’acronyme « [...] » et qui a été déposé pour enregistrement comme marque en [...], a été transféré au mois de décembre 2021 aux intimées. Il apparaît que le descriptif figurant sur le site (…) des intimées indique que « [...] » a été mis en place en 2019, que le « [...] » a été enregistré en 2020, que les cours ont lieu notamment à [...] et [...], et que les activités de gestion administrative et organisationnelle du Groupe « [...] » sont concentrées dans la société « [...] ». Il est également mentionné qu’un mémorandum sur la coopération dans le domaine de la formation juridique dans le cadre du projet de création et de développement de la société Q.________ a été signé le 5 décembre 2018. Le mot « [...] » est utilisé à plusieurs reprises sur le site internet en tant qu’abréviation de « [...] », dénomination à laquelle la version [...] de la page d’accueil du site fait référence, et l’indication « [...] © 2021 » y figure également. Au mois de janvier 2022, le site internet des intimées apparaissait sur la première page des résultats dans une recherche Google avec les mots-clés « [...] G.________ ». Le 8 mars 2022, le site instagram « [...] utilisait également le logo litigieux. En outre, le logo de « [...] » figure sur le site internet de l’Université d’Etat de droit de [...] ([...]) alors qu’il mentionne le mémorandum du 5 décembre 2018 sur le projet de création et de développement de la requérante. iii) Il apparaît donc que les parties, dont les sièges sociaux se trouvent dans la même région géographique francophone (cantons de [...] et [...]), ont le même but social (enseignement supérieur dans le domaine juridique), visent la même clientèle (étudiants universitaires [...]), collaborent avec les mêmes partenaires universitaires en [...] et développent le même programme de droit international comparé. Elles sont donc dans un rapport de concurrence étroit. La requérante est toutefois inscrite et active depuis 2019, alors que les intimées sont inscrites et actives depuis le début de l’année 2022. Dans leurs désignations, les parties utilisent le même acronyme « [...] » ainsi que les mêmes termes « [...] », « [...] » et « [...] », dans leur documentation, sur leur site internet ou dans le cadre de leurs activités de marketing. Il apparaît que l’ajout « [...] » ou la place du mot « [...] » ne permettent pas de distinguer réellement les signes comparés entre lesquels il existe une parenté tant verbale que sonore. L’ensemble donne donc clairement l’impression au public qu’il peut s’adresser sans distinction à l’une ou l’autre des entités (intimées ou requérante), dès lors qu’elles semblent faire partie d’un même groupe identitaire et être liées juridiquement et/ou économiquement. Les pièces au dossier démontrent en outre que les intimées cultivent la confusion apparente entre leurs entités et la requérante dès lors qu’elles mentionnent à de nombreuses reprises cette dernière ainsi que le mémorandum sur la coopération de 2018 qui concerne la requérante sur leur site internet, qu’elles indiquent que les cours ont lieu sur les deux sites de [...] et [...], et qu’elles font référence à l’année 2019 alors qu’elles ne sont actives que depuis 2022. Preuve en est que même une des universités partenaires [...] reprend le logo des intimées tout en mentionnant la requérante s’agissant d’un accord de coopération signé avec les intimées. Il n’est par ailleurs pas anodin que le site internet des intimées apparaisse en premier lors d’une recherche Google avec les mots clés comprenant « [...] » et le nom de la requérante. Le fait que ce soit en outre [...], ancien recteur au sein de la requérante, qui est désormais en charge de la gestion académique au sein des intimées et qui participe aux réunions avec les futurs étudiants, ajoute à la confusion. Les intimées, qui n’ont pas déposé une marque en lien avec la dénomination de leurs raisons sociales en Suisse, n’ont pas rendu vraisemblable que la requérante les ait autorisées à utiliser la marque « [...] » ou leur ait cédé le droit de mener des activités de formation en utilisant le nom « [...] », ni qu’il existe une entité « [...] Group », « [...] Group Holding », « [...] » ou « [...] ». En revanche, la requérante a rendu vraisemblable que les signes, les raisons sociales et les comportements des intimées créent un risque de confusion et tendent à créer une association entre les parties, alors qu’elles ne sont aucunement liées, ceci en violation des normes protectrices invoquées. Il en découle un risque d’atteinte à la clientèle, aux intérêts économiques et à la réputation de la requérante du fait des activités commerciales des intimées. Ce préjudice est d’autant plus concret et irréparable que les cours au sein des intimées ont déjà débuté le 7 février 2022, que les intimées accueillent déjà des étudiants dans leurs locaux à [...], que ces étudiants termineront sans aucun doute leur cursus au sein de l’entité dans laquelle ils l’ont commencé sans changer de campus universitaire en cours de parcours, et que les intimées sont déjà en train de prospecter pour la rentrée académique 2022/2023. Il convient en outre de relever que la requérante n’a pas tardé à agir puisque la modification des raisons sociales des intimées a été publiée dans la FOSC le 18 janvier 2022 et qu’elle les a mis dès cette date en demeure de cesser immédiatement de « nourrir toute forme de confusion » entre leurs activités et les siennes, notamment en retirant immédiatement de leurs sites internet et de tout matériel marketing toute référence à « [...] », « [...] » et « [...] ». Quant aux troubles impliquant la [...] en [...] depuis le début de l’année, ils n’ont pas d’impact en l’espèce, puisqu’ils n’empêchent pas les comportements susmentionnés des intimées, ni la poursuite de l’activité de la requérante qui pourrait, cas échéant, assurer un enseignement à distance. Au vu de ce qui précède, il doit être fait droit aux conclusions nos 10 à 18 prises par la requérante au pied de sa requête de mesures provisionnelles du 28 janvier 2022. VIII. a)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op. cit.,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De même, on renoncera en règle générale à exiger des sûretés lorsque les mesures provisionnelles requises n’ont pas d’autre but que le maintien d’une situation conforme au droit (Bohnet in Bohnet/Haldy/Jeandin/Schweizer/Tappy, op. cit., n. 5 ad art. 264 CPC). b) En l’espèce, les intimées n'ont pas requis de la requérante qu'elle fournisse des sûretés et la requérante n'a pas requis que les intimées en fournissent. Cette dernière a seulement conclu à ce qu’elle soit dispensée de fournir des sûretés. Les circonstances ne justifiant pas l’octroi de sûretés en faveur des intimées, la conclusion</w:t>
      </w:r>
    </w:p>
    <w:p>
      <w:r>
        <w:rPr>
          <w:b/>
        </w:rPr>
        <w:t>E. 19</w:t>
      </w:r>
    </w:p>
    <w:p>
      <w:r>
        <w:t>de la requête de mesures provisionnelles du 28 janvier 2022 doit dès lors être admise. IX. Conformément à l'art. 263 CPC, si l'action au fond n'est pas encore pendante, le tribunal impartit au requérant un délai pour le dépôt de la demande, sous peine de caducité des mesures ordonnées. Dès lors qu'en l'occurrence, l'action au fond n'a pas encore été ouverte, il appartiendra à la requérante de saisir, dans les trois mois suivant la notification de la présente décision, l'autorité compétente, en lui soumettant les conclusions correspondantes. X. Selon l'art. 267 CPC, le tribunal qui ordonne des mesures provisionnelles prend également les dispositions d'exécution qui s'imposent. Selon l’art. 343 CPC, lorsque la décision prescrit une obligation de faire, de s’abstenir ou de tolérer, le tribunal de l’exécution peut notamment assortir la décision de la menace de la peine prévue à l’art. 292 CP (Code pénal suisse du 21 décembre 1937; RS 311) (let. a), prévoir une amende d’ordre de 5000 francs au plus (let. b) ou prévoir une amende d’ordre de 1000 francs au plus pour chaque jour d’inexécution (let. c). En l’espèce, dans la mesure où la requérante a demandé des dispositions d’exécution pour les conclusions qui sont admises, il y a lieu d'ordonner de telles mesures d'exécution, soit que les injonctions prononcées soient assorties de la peine d’amende prévue à l’art. 292 CP et de la menace d’amende d’ordre pour chaque jour d’inexécution. Au vu du nombre d’élèves concernés et du préjudice en découlant, il convient toutefois de fixer le montant de l’amende d’ordre à hauteur de 1'000 fr. pour chaque jour d’inexécution. XI. a) Les frais sont mis à la charge de la partie qui succombe ou sont répartis selon le sort de la cause lorsqu’aucune des parties n’obtient entièrement gain de cause (art. 105 et 106 CPC). Ils comprennent les frais judiciaires et les dépens (art. 95 al. 1 CPC). Les frais judiciaires sont compensés avec les avances fournies par les parties (art. 111 al. 1 CPC). b) A teneur de l'art. 28 du Tarif des frais judiciaires civils du 28 septembre 2010 (TFJC ; BLV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Quant à l’émolument forfaitaire pour le dépôt de mesures superprovisionnelles devant la Cour civile, il est fixé à 350 fr. (art. 30 TFJC). Selon l’art. 6 du Tarif des dépens en matière civile du 23 novembre 2010 (TDC ; BLV 270.11.6), en procédure sommaire, lorsque la valeur litigieuse s’élève entre 250'001 fr. et 500'000 fr., des dépens d’un montant de 4'000 fr. à 9'000 fr. peuvent être alloués. L’art. 20 al. 1 TDC, d 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présent tarif. c) En l’occurrence, les frais judiciaires sont arrêtés à 5'552 fr. 30 (5'000 fr. + 350 fr. + 202 fr. 30 de frais d’interprète) et mis à la charge des intimées, solidairement entre elles. Elles restitueront ce montant à la requérante. Elles lui verseront également de pleins dépens qu'il convient d'arrêter à 10’500 fr. (art. 4 TDC) à titre de défraiement de son mandataire professionnel (art. 3 al. 2 TDC) et de débours nécessaires (art. 19 al. 2 TDC). XII.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n. 38 ad art. 239 CPC; Oberhammer, Basler Kommentar ZPO, 2 e éd., Bâle 2014, n. 10 ad art. 239 CPC ; Gasser/Rickli, Schweizerische Zivilprozessordnung, Kurzkommentar, Zurich 2010, n. 4 ad art. 239 CPC; contra : Tappy in Bohnet/Haldy/Jeandin/Schweizer/Tappy, op. cit., nn. 24-25 ad art. 239 CPC). Par conséquent, le présent jugement est motivé d'office. * * * * * Par ces motifs, le juge délégué, statuant à huis clos et par voie de mesures provisionnelles : I. Dit que les conclusions prises par la requérante G.________ contre les intimées Q.________ et H.________ sont admises. II. Interdit aux intimées tout comportement visant à enrôler les étudiants de la requérante en se prévalant de leurs nouvelles raisons sociales Q.________ et H.________. III. Interdit aux intimées d’apposer sur leur campus à [...] les enseignes portant les noms de [...] », « Q.________ » et « H.________ ». IV. Interdit aux intimées de revendiquer auprès d’étudiants et d’universités toute affiliation avec la requérante. V. Interdit aux intimées tout comportement visant à créer une confusion vis-à-vis des tiers, y compris sur leur site internet, (…), entre leurs prestations et établissements et ceux de la requérante, dans le cadre notamment des inscriptions et des accords de coopération. VI. Interdit aux intimées de se prévaloir de liens avec la requérante, respectivement d’organiser des réunions et/ou d’y participer sous l’enseigne de la requérante afin de conclure et de résilier des accords. VII. Interdit aux intimées de créer tout nouveau matériel dans les affaires, (soit notamment sur leur papier entête, cartes de visite, dans leurs communications externes (emails, messages, correspondances), se référant aux entités et dénominations litigieuses « Q.________ », « H.________ », ainsi que toute référence à l’acronyme et la raison sociale de la requérante. VIII. Ordonne aux intimées de retirer de tous les sites qu’elle utilise et alimente, en particulier (…), toute référence à « Q.________ », « H.________ », ainsi que toute référence à l’acronyme et la raison sociale de la requérante. IX. Ordonne aux intimées de cesser tout envoi, sous quelque forme que ce soit, de toute correspondance de nature à, implicitement ou explicitement, s’assimiler ou se substituer aux prestations de la requérante. X. Interdit aux intimées de déposer une marque suisse aux noms de « [...] », « [...] », « [...] », « [...] ». XI. Dispense la requérante de fournir des sûretés. XII. Fixe à la requérante un délai de trois mois dès notification de la présente décision pour déposer une demande au fond, sous peine de caducité des mesures provisionnelles. XIII. Dit que les injonctions provisionnelles sont prononcées sous la menace de la peine d’amende prévue par l’art. 292 CP, qui réprime l’insoumission à une décision de l’autorité, en cas d’inexécution immédiate. XIV.              Dit qu’en cas de non-respect des injonctions provisionnelles, les intimées seront condamnées à une amende d’ordre de 1'000 fr. pour chaque jour d’inexécution. XV.              Met les frais de la procédure provisionnelle, arrêtés à 5'552 fr. 30 (cinq mille cinq cent cinquante-deux francs et trente centimes), à la charge des intimées, solidairement entre elles. XVI.              Condamne les intimées, solidairement entre elles, à verser à la requérante le montant de 16’052 fr. 30 (seize mille cinquante-deux francs et trente centimes), à titre de restitution d’avance de frais, ainsi que de dépens de la procédure provisionnelle. XVII. Déclare la présente ordonnance immédiatement exécutoire, nonobstant recours ou appel. XVIII.              Rejette toute autre ou plus ample conclusion. Le juge délégué : Le greffier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