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2019 / 4 vom 12. Juni 2019</w:t>
      </w:r>
    </w:p>
    <w:p>
      <w:r>
        <w:t>VD Tribunal cantonal, 2019-06-12, FR</w:t>
      </w:r>
    </w:p>
    <w:p>
      <w:r>
        <w:rPr>
          <w:b/>
        </w:rPr>
        <w:t xml:space="preserve">Quelle: </w:t>
      </w:r>
      <w:r>
        <w:t>https://mcp.opencaselaw.ch/entscheid/vd_findinfo_MP___2019___4</w:t>
      </w:r>
    </w:p>
    <w:p>
      <w:r>
        <w:t>FR: VD_FINDINFO MP / 2019 / 4 du 12 juin 2019</w:t>
      </w:r>
    </w:p>
    <w:p>
      <w:r>
        <w:t>IT: VD_FINDINFO MP / 2019 / 4 del 12 giugno 2019</w:t>
      </w:r>
    </w:p>
    <w:p>
      <w:pPr>
        <w:pStyle w:val="Heading2"/>
      </w:pPr>
      <w:r>
        <w:t>Regeste</w:t>
      </w:r>
    </w:p>
    <w:p>
      <w:r>
        <w:t>MESURE PROVISIONNELLE, PROTECTION DES MARQUES | 13 al. 2 LPM, 261 CPC (CH), 5 al. 1 let. a CPC (CH)</w:t>
      </w:r>
    </w:p>
    <w:p>
      <w:pPr>
        <w:pStyle w:val="Heading2"/>
      </w:pPr>
      <w:r>
        <w:t>Erwägungen</w:t>
      </w:r>
    </w:p>
    <w:p>
      <w:r>
        <w:rPr>
          <w:b/>
        </w:rPr>
        <w:t>E. 2</w:t>
      </w:r>
    </w:p>
    <w:p>
      <w:r>
        <w:t>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Ainsi, la marque est protégée contre toute forme d'utilisation distinctive mais uniquement en relation avec des produits ou services similaires à ceux pour lesquels elle est enregistrée (principe de spécialité; cf. Troller, op. cit., p. 94; David, Basler Kommentar, Markenschutzgesetz, Muster- und Modellgesetz, Bâle 1994, n. 5 ad art. 3 LPM). Des marchandises ou des services sont similaires si les consommateurs potentiels sont amenés à penser que les produits en cause proviennent d'une seule et même entreprise (ATF 123 III 189 consid. 3a, JdT 1997 I 237; ATF 87 II 107 consid. 1, JdT 1961 I 589 [rés.]). Les exigences posées quant à la similitude des produits ou services seront d'autant moins élevées que les signes en cause sont proches (ATF 128 III 96 consid. 2c, JdT 2002 I 491). Les produits ou les services déterminants sont ceux qui sont inscrits au registre des marques; le mode d'utilisation concret de la marque est sans pertinence (Joller, in Markenschutzgesetz [MSchG], Noth/Bühler/Thouvenin [éd.], Berne 2009, n. 235 ad art. 3 LPM). La protection est accordée pour autant que la marque soit utilisée en relation avec les produits ou les services enregistrés (art. 11 al. 1 LPM). La notion de risque de confusion est, pour l'essentiel, identique dans l'ensemble du droit des biens immatériels (TF 4C. 169/2005 du 5 septembre 2005 consid. 2; ATF 128 III 353 consid. 4, JdT 2002 I 517; ATF 126 III 239 consid.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consid. 2a et les références citées, JdT 2001 I 345; Troller, op. cit., p. 86).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consid. 5, JdT 2002 I 509).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c) Pour que le titulaire puisse invoquer une violation de son droit exclusif sur sa marque (art. 13 LPM), l'usage qu'il en fait doit satisfaire à deux conditions préalables: l'usage doit avoir lieu sur le marché, ce qui n'est pas le cas d'un usage privé qui n'implique aucune offre concrète de prestations sur le marché visant à satisfaire une demande de la part de tiers; la marque doit être utilisée par le tiers comme signe distinctif, pour identifier un sujet ou un objet de droit, et le public déterminé doit y voir une telle indication, erronée. Il importe peu que la marchandise sur laquelle la marque a été apposée ait été modifiée ou non, qu'elle soit reconditionnée ou non. Le simple fait de recevoir des marchandises en franchise de douane représente une violation du droit à la marque sur le territoire suisse, de même que le simple transit de la marchandise, et le destinataire de l'envoi peut en ce cas être considéré comme l'importateur. Il existe toutefois une réserve s'agissant de la première de ces deux conditions. En effet, l'art. 13 al. 2bis LPM permet désormais au titulaire d'interdire notamment l'importation de produits contrefaits à des fins privées (Gilliéron, Commentaire romand, Propriété intellectuelle, Bâle 2013, nn. 10 ss ad art. 13 LPM). d) L'art. 55 al. 1 LPM permet notamment à la personne qui subit ou risque de subir une violation de son droit à la marque de demander au juge civil de l'interdire si elle est imminente (let. a) ou de la faire cesser si elle dure encore (let. b). La personne habilitée à agir peut également requérir des mesures provisionnelles, notamment pour assurer à titre provisoire la prévention ou la cessation du trouble (art. 59 let. d LPM). e) En l'espèce, il est établi que la requérante est titulaire des marques [...] et [...], des marques figuratives [...], [...], [...], toutes enregistrées en classe 14, et de la marque figurative pour la lunette octogonale surmontée de huit vis hexagonales, enregistrée en classes 3, 8-9, 14, 16, 18, 25 et 34. Un des produits créés par la requérante, d'une valeur de 56'900 fr., regroupe tous ces éléments: il s'agit d'une montre dénommée [...] dont la lunette est octogonale et surmontée de huit vis hexagonales, et qui comporte les désignations [...] ainsi qu' [...]. Le droit à la marque de la requérante est ainsi rendu hautement vraisemblable. Il ressort de l'état de fait que l'intimée, depuis la Suisse, a commandé à l'étranger une montre comprenant également tous les éléments précités (lunette octogonale surmontée de huit vis hexagonales comportant les mentions " [...]", " [...]" et " [...]"), d'une valeur de 37 fr., et qui devait lui être livrée en Suisse depuis les Pays-Bas. Le produit litigieux utilise donc des signes identiques aux marques enregistrées dont la requérante est titulaire. Cette dernière rend ainsi hautement vraisemblable une violation de son droit à la marque. Dès l'arrivée du colis contenant le produit litigieux sur sol helvétique, l'Administration fédérale des douanes, autorité compétente en vertu des art. 70 ss LPM, en a informé la Fédération de l'industrie horlogère suisse FH et a retenu dite marchandise. L'intimée a également été prévenue du statut de contrefaçon de sa commande. Malgré la similarité des produits, le rapport établi par la Fédération de l'industrie horlogère suisse FH et la différence de prix entre la marchandise originale et la marchandise livrée, elle a toutefois contesté avoir acheté une contrefaçon, s'est opposée à sa destruction par l'Administration fédérale des douanes et a demandé que le colis soit relâché. La vraisemblance d'un préjudice difficilement réparable doit être admise au regard du droit des marques. En effet, tant l'atteinte à la réputation de la requérante que le trouble créé par l'utilisation par l'intimée de signes engendrant un risque de confusion sont de nature à engendrer un tel préjudice. La force distinctive des signes dont la requérante est titulaire est ici affaiblie par la présence de signes identiques contrefaisants. En outre, l a nécessité d'une protection provisionnelle est démontrée en l'espèce. En effet, le retard apporté à une solution provisoire, qui ne préjuge en rien le fond, mettrait en péril les intérêts de la requérante puisque la marchandise, libérée par l'Administration fédérale des douanes, serait alors remise à l'intimée qui pourrait l'importer et faire ainsi immédiatement usage des signes portant à confusion et portant atteinte à la réputation de la requérante. Cette dernière a, par ailleurs, démontré un intérêt suffisant à l'octroi de mesures provisionnelles dès lors que l'intimée ne reconnaît à l'évidence pas l'importance de l'atteinte portée aux droits du titulaire d'une marque par l'acte qui lui est reproché. Au surplus, la requérante a agi dès qu'elle a été informée de la réception de la marchandise litigieuse par l'Administration fédérale des douanes et de l'expertise de la Fédération de l'industrie horlogère suisse FH quant à la qualité contrefaisante de l'objet concerné. Au demeurant, la mesure provisionnelle requise, à savoir la rétention de l'objet à l'Administration fédérale des douanes n'atteint pas de manière incisive l'intimée qui se voit momentanément privée de l'usage d'un bien qui n'est pas de première nécessité. Les conditions d'octroi des mesures provisionnelles sont donc réunies. La requête déposée le 23 avril 2019 par la requérante est admise. Interdiction doit être faite à l'intimée d'importer la marchandise litigieuse et l'Administration fédérale des douanes doit être invitée à retenir cette dernière jusqu'à droit connu sur la demande au fond. V. En vertu de l'art. 106 al. 1 principio CPC, les frais, qui comprennent les frais judiciaires et les dépens (art. 95 al. 1 CPC), sont mis à la charge de la partie succombante. Les frais judiciaires de la procédure provisionnelle, arrêtés à 900 fr., sont mis à la charge de l’intimée qui succombe (art. 28 TFJC [Tarif des frais judiciaires civils du 28 septembre 2010; BLV 270.11.5]). En outre, l’intimée versera à la requérante des dépens de la procédure provisionnelle et superprovisionnelle qu'il convient d'arrêter à 2'625 fr. à titre de défraiement du représentant professionnel et de débours nécessaires (art. 3, 6 et 19 TDC [Tarif des dépens en matière civile du 23 novembre 2010 ; BLV 270.11.6]). VI.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Par conséquent, la présente ordonnance est motivée d'office. * * * * * Par ces motifs, la juge déléguée, statuant à huis clos et par voie de mesures provisionnelles : I. Ordonne à l'Administration fédérale des douanes de retenir la marchandise saisie le 25 mars 2019 dans le cadre de la demande d'intervention de la Fédération de l'industrie horlogère suisse FH (dossier n° [...]; [...]), à savoir une montre imitation de la marque [...], destinée à l'intimée M.________, [...], [...], jusqu'à droit connu sur la demande au fond. II. Interdit à l'intimée, sous la menace de la peine d'amende prévue à l'art. 292 CP pour insoumission à une décision de l'autorité, d'importer la marchandise saisie le 25 mars 2019 par l'Administration fédérale des douanes dans le cadre de la demande d'intervention de la Fédération de l'industrie horlogère suisse FH (dossier n° [...]; [...]). III. Fixe à la requérante un délai de trente jours dès notification de la présente décision pour déposer une demande au fond, sous peine de caducité des mesures provisionnelles. IV. Met les frais de la procédure provisionnelle, arrêtés à 900 fr. (neuf cents francs), à la charge de l'intimée. V.              Condamne l'intimée à verser à la requérante U.________ SA le montant de 3’525 fr. (trois mille cinq cent vingt-cinq francs), à titre de restitution d’avance de frais, ainsi que de dépens de la procédure provisionnelle et superprovisionnelle. VI. Déclare la présente ordonnance immédiatement exécutoire, nonobstant recours ou appel. La juge déléguée : La greffière : C. Kühnlein              M. Bron Du L'ordonnance qui précède, lue et approuvée à huis clos, est notifiée, par l'envoi de photocopies, au conseil de la requérante et à l'intimée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