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MP / 2019 / 3 vom 9. November 2018</w:t>
      </w:r>
    </w:p>
    <w:p>
      <w:r>
        <w:t>VD Tribunal cantonal, 2018-11-09, FR</w:t>
      </w:r>
    </w:p>
    <w:p>
      <w:r>
        <w:rPr>
          <w:b/>
        </w:rPr>
        <w:t xml:space="preserve">Quelle: </w:t>
      </w:r>
      <w:r>
        <w:t>https://mcp.opencaselaw.ch/entscheid/vd_findinfo_MP___2019___3</w:t>
      </w:r>
    </w:p>
    <w:p>
      <w:r>
        <w:t>FR: VD_FINDINFO MP / 2019 / 3 du 9 novembre 2018</w:t>
      </w:r>
    </w:p>
    <w:p>
      <w:r>
        <w:t>IT: VD_FINDINFO MP / 2019 / 3 del 9 novembre 2018</w:t>
      </w:r>
    </w:p>
    <w:p>
      <w:pPr>
        <w:pStyle w:val="Heading2"/>
      </w:pPr>
      <w:r>
        <w:t>Regeste</w:t>
      </w:r>
    </w:p>
    <w:p>
      <w:r>
        <w:t>DROIT DE LA FONCTION PUBLIQUE, MESURE PROVISIONNELLE, TRANSFERT{EN GÉNÉRAL}, PROTECTION DE LA PERSONNALITÉ | 328 CO, 16 LPers-VD, 21 LPers-VD, 22 LPers-VD, 37 RLPers-VD, 261 CPC (CH), 3a LHC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novembre 2018 Les motifs de l’ordonnance sont notifiés aux représentants des parties. Appel : Un appel au sens des articles 308 ss CPC peut être formé dans un délai de</w:t>
      </w:r>
    </w:p>
    <w:p>
      <w:r>
        <w:rPr>
          <w:b/>
        </w:rPr>
        <w:t>E. 10</w:t>
      </w:r>
    </w:p>
    <w:p>
      <w:r>
        <w:t>jours dès la notification de la présente décision en déposant au greffe du Tribunal cantonal un mémoire écrit et motivé. La décision objet de l’appel doit être jointe. La greffière : Pauline MONOD, a.h.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