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2016 / 4 vom 15. Juli 2016</w:t>
      </w:r>
    </w:p>
    <w:p>
      <w:r>
        <w:t>VD Tribunal cantonal, 2016-07-15, FR</w:t>
      </w:r>
    </w:p>
    <w:p>
      <w:r>
        <w:rPr>
          <w:b/>
        </w:rPr>
        <w:t xml:space="preserve">Quelle: </w:t>
      </w:r>
      <w:r>
        <w:t>https://mcp.opencaselaw.ch/entscheid/vd_findinfo_MP___2016___4</w:t>
      </w:r>
    </w:p>
    <w:p>
      <w:r>
        <w:t>FR: VD_FINDINFO MP / 2016 / 4 du 15 juillet 2016</w:t>
      </w:r>
    </w:p>
    <w:p>
      <w:r>
        <w:t>IT: VD_FINDINFO MP / 2016 / 4 del 15 luglio 2016</w:t>
      </w:r>
    </w:p>
    <w:p>
      <w:pPr>
        <w:pStyle w:val="Heading2"/>
      </w:pPr>
      <w:r>
        <w:t>Regeste</w:t>
      </w:r>
    </w:p>
    <w:p>
      <w:r>
        <w:t>LOI FÉDÉRALE SUR LES CARTELS ET AUTRES RESTRICTIONS À LA CONCURRENCE, SPORT PROFESSIONNEL, PROTECTION DE LA PERSONNALITÉ, ACTIVITÉ ÉTATIQUE, MESURE PROVISIONNELLE | 28 CC, 28a CC, 12 LCart, 2 LCart, 4 al. 2 LCart, 7 LCart, 261 CPC (CH), 5 CPC (CH)</w:t>
      </w:r>
    </w:p>
    <w:p>
      <w:pPr>
        <w:pStyle w:val="Heading2"/>
      </w:pPr>
      <w:r>
        <w:t>Erwägungen</w:t>
      </w:r>
    </w:p>
    <w:p>
      <w:r>
        <w:rPr>
          <w:b/>
        </w:rPr>
        <w:t>E. 10</w:t>
      </w:r>
    </w:p>
    <w:p>
      <w:r>
        <w:t>ad art. 261 CPC; Jeandin, op. cit., n. 46 p. 21).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C’est en outre le lieu de rappeler que les mesures provisionnelles ont pour rôle de sauvegarder les intérêts du requérant en vue d’un procès au fond, et qu’elles ne doivent pas entraîner la disparition de l’intérêt à agir au fond (art. 59 al. 2 let. a CPC; ATF 138 III 728 consid. 2.7, où le Tribunal fédéral a jugé qu’en cas d’admission à titre provisionnel d’une reddition de comptes au sens de l’art. 400 CO [ loi fédérale du 30 mars 1911 complétant le code civil suisse, Livre cinquième: Droit des obligations; RS 220 ], il ne restait plus de place pour une procédure ordinaire sur le même objet). VI. Conformément à ce qui précède, il faut déterminer quelle atteinte à leurs droits les requérants peuvent invoquer dans un litige en matière de droit des cartels. a) Selon l’art. 1 LCart, cette loi a pour but d'empêcher les conséquences nuisibles d'ordre économique ou social imputables aux cartels et aux autres restrictions à la concurrence, et de promouvoir ainsi la concurrence dans l'intérêt d'une économie de marché fondée sur un régime libéral. L’art. 2 LCart prévoit l’application de cette loi aux entreprises de droit privé ou de droit public qui sont parties à des cartels ou à d'autres accords en matière de concurrence, qui sont puissantes sur le marché ou participent à des concentrations d'entreprises (al. 1), toute entreprise engagée dans le processus économique qui offre ou acquiert des biens ou des services y étant soumise, indépendamment de son organisation ou de sa forme juridique (cf. al. 1 bis ). La recherche d’un profit n’est pas nécessaire (Lehne, op. cit., n. 12 ad art. 2 LCart), seule la participation au processus économique étant requise, du côté de l’offre ou de la demande (Martenet/Killias, op. cit., nn 22 s. ad art. 2 LCart). Sur le principe, la jurisprudence admet que l’accès pour les athlètes ou pour des équipes sportives professionnels aux compétitions puisse relever de la législation sur les cartels (cf l’arrêt du Tribunal cantonal valaisan du 20 octobre 2003, dans la cause opposant le Football Club Sion Association et la société Olympique des Alpes SA, en charge de son exploitation économique, à la Swiss Football League, RVJ 2004 pp 249 ss, DPC 2003 p. 972 ss; cf ég. JICC 24 juin 2011/87 opposant une coureuse professionnelle à l’organisateur d’une étape du circuit d’athlétisme). La question de l’application de la LCart dans le cas d’espèce est cependant plus délicate. Les deux exemples jurisprudentiels précités concernent des athlètes entendant exercer leur métier ou des organisations entendant exercer l’activité commerciale prévue par leurs statuts. Dans ces affaires, la participation au processus économique ne faisait dès lors que peu de doute. La situation est toutefois différente pour les Jeux olympiques, la Charte Olympique réservant l’intégralité des droits sur ces Jeux au CIO (cf. art. 7 al. 2) et interdisant à tous les participants de retirer une quelconque contre-prestation financière de leur participation aux jeux (cf art. 40 et le paragraphe 4 du texte d’application). Il est vrai que l’application de la LCart n’impose pas qu’un gain soit recherché au travers de l’activité concernée, mais celle-ci doit néanmoins représenter une participation au processus économique , que ce soit du côté de l’offre ou de la demande. Il est vrai également que les Jeux Olympiques peuvent être considérés d’un point de vue commercial – c’est-à-dire qu’ils sont accompagnés d’un processus commercial, à vrai dire assez important. On peine toutefois à concevoir la participation aux Jeux olympique comme un service fourni par les participants à l’organisateur – serait-ce de manière comparable à un fournisseur –, ou comme la consommation d’un service. Certes également, le paragraphe 3 du texte d’application de l’art. 40 de la Charte olympique prévoit que la Commission exécutive du CIO peut autoriser la participation aux Jeux olympiques à des fins publicitaires. Même à l’aune de la simple vraisemblance, la présente procédure demeure cependant sujette au principe d’allégation (cf supra consid. V/d), et rien dans l’état de fait ne permet de retenir que les requérants, en s’en prenant à la décision du CIO du 27 octobre 2015, poursuivent un tel objectif. Les relations juridiques dans le cas d’espèce ne lient pas le CIO à un acteur économique à proprement parler, mais à un Etat, en son nom propre et au travers d’une de ses institutions. Les requérants invoquent à cet égard que le sport et les Jeux olympiques sont une vitrine indispensable et fondamentale pour l’ensemble des pays du monde (all. 228), et soulignent que la mesure dont ils se plaignent n’a été utilisée qu’à l’encontre de CNO représentant des Etats mis au ban des nations, savoir les puissances de l’Axe au lendemain de la seconde guerre mondiale et l’Afrique du Sud du temps de l’apartheid (all. 229). Une nouvelle fois, si l’importance du sport national n’est plus à démontrer sur le plan politique, on peine à discerner dans l’exposé des requérants une dimension économique directe, sous la forme d’un échange de prestations. Cela étant, on ne peut pas non plus exclure que le cas d’espèce présente une composante économique. Dans une affaire TF 5A_21/2011 du 10 février 2012 opposant le CIO à une association requérant d’être reconnue comme CNO, le Tribunal fédéral s’est référé – sous l’angle du droit de la protection de la personnalité – à la portée économique et professionnelle de l’exclusion d’une association, lorsque celle-ci occupe une position dominante dans son propre domaine d’activité (consid. 5.2.1.2); il a ensuite admis que le rejet de la demande d’admission était susceptible de causer une atteinte à la personnalité (consid. 5.2.2, cette atteinte ayant finalement été jugée licite et proportionnée). Quand bien même cet arrêt ne traite pas du tout du droit de la concurrence, il met en lumière à quel point l’applicabilité de ce droit est une question délicate, justifiant un examen soigneux et circonstancié. Celui-ci ayant cependant lieu en l’espèce à l’aune de la vraisemblance, dans le cadre de mesure provisionnelles, on peut laisser ouverte la question de l’applicabilité de la LCart et examiner les mérites de la requête à la lumière de celle-ci. Comme on le verra en effet, de ce point de vue, la requête doit de toute manière être rejetée pour les motifs exposés ci-après. b) L’art. 12 al. 1 LCart permet à la personne qu'une restriction illicite à la concurrence entrave dans l'accès à la concurrence ou l'exercice de celle-ci, de demander la suppression ou la cessation de l'entrave (let. a), la réparation du dommage et du tort moral conformément au code des obligations (let. b) ou la remise du gain réalisé indûment selon les dispositions sur la gestion d'affaires (let. c). En vertu de l’art. 12 al. 2 LCart, ces actions peuvent aussi être intentées par la personne qui, en raison d'une restriction licite à la concurrence, subit une entrave plus grave que ne l'exigerait l'application de ladite restriction. L’action en constatation de droit existe également en droit des cartels. Un intérêt à cet égard n’existe cependant que lorsqu’il y a une incertitude, une insécurité ou une mise en danger de la situation juridique du demandeur, dont la continuation n’est pas exigible et qui ne peut pas être éliminée d’une autre manière, en particulier par une action en prestation ou constitutive (ATF 123 III 49 consid. 1; Jacobs/Giger in Basler Kommentar KartG, op. cit., n. 37 ad al. 12 LCart.). Il découle de ce qui précède qu’il faut d’emblée rejeter la conclusion III des requérants, tendant à la constatation d’un abus de position dominante au sens de la LCart au travers de la décision du 27 octobre 2015. En effet, une telle conclusion ne permet pas de protéger leurs intérêts durant la procédure ordinaire, mais relève du fond. Une conclusion en constatation de droit paraît en outre mal fondée au stade des mesures provisionnelles, et à tout le moins en l’espèce. Comme exposé ci-avant, celles-ci ont en effet pour but de préserver l’état de fait et doivent être nécessaires à ce but. Seules des conclusions condamnatoires semblent ainsi entrer en ligne de compte à cet égard, à l’exclusion des conclusions en constatation de droit (pour l’établissement urgent d’un fait , cf art. 158 CPC relatif à la preuve à futur). La question de l’existence d’un abus de position dominante se pose toutefois à titre préjudiciel, dans l’examen des conclusions IV et suivantes de la requête. c) En vertu de l’art. 2 al. 1 LCart, cette loi s’applique aux entreprises de droit privé ou de droit public qui sont parties à des cartels ou à d'autres accords en matière de concurrence, qui sont puissantes sur le marché ou participent à des concentrations d'entreprises. L’art. 4 LCart définit les accords en matière de concurrence comme les conventions avec ou sans force obligatoire ainsi que les pratiques concertées d’entreprises occupant des échelons du marché identiques ou différents, dans la mesure où elles entraînent une restriction à la concurrence (al. 1) et les entreprises dominant le marché comme une ou plusieurs entreprises qui sont à même, en matière d’offre et de demande, de se comporter de manière essentiellement indépendante par rapport aux autres participants du marché (concurrents, fournisseurs ou acheteurs) (al. 2). La question de savoir si une entreprise domine ou non le marché doit être appréciée en rapport avec le marché matériellement et géographiquement déterminant (ATF 133 II 104 consid. 8.2; ATF 129 II 497 consid. 6.3.1 et réf. cit., SJ 2004 I 165; Reinert/Bloch in Basler Kommentar KartG, op. cit., n. 4 ad art. 4 al. 2 LCart; Clerc/Këllezi in CR-Droit de la concurrence, 2 e éd., Bâle 2012, nn 62 ss ad art. 4 al. 2 LCart; critique Raass, Die Marktabgrenzung : bestenfalls überflüssig, schlimmstenfalls irreführend in Sic! 2011 p. 405). Pour définir le marché matériellement déterminant, ou marché des produits, il convient de se référer d'une part à la notion de marché issue du droit communautaire, d'autre part à la définition de l'art. 11 al. 3 let. a OCCE (ordonnance sur le contrôle des concentrations d'entreprises du 17 juin 1996; RS 251.4), applicable par analogie (Clerc/Këllezi, op. cit., nn 63 et 69 ad art. 4 al. 2 LCart). En vertu de cette dernière disposition, le marché des produits comprend tous les produits ou services que les partenaires de l'échange considèrent comme substituables en raison de leurs caractéristiques et de l'usage auquel ils sont destinés (Clerc/Këllezi, op. cit., n. 69 ad art. 4 al. 2 LCart). Ce critère de substituabilité figure également dans la jurisprudence communautaire, qui étend toutefois la notion de marché des produits à l'ensemble des produits qui, même sans être nécessairement substituables, sont en tous cas suffisamment interchangeables avec les produits proposés par l'entreprise en cause, en fonction non seulement de leurs caractéristiques propres, mais également des conditions de concurrence et de la structure de la demande et de l'offre sur le marché (CJCE aff. C-333/94 du 14 novembre 1996, Tetra Pak II c/ Commission, Rec. 1996 I-5951, n. 10). En l’espèce, la supervision des Jeux Olympiques échoit par nature au CIO, qui détermine la participation à ces jeux par sa Charte et par des décisions. Il paraît cependant douteux qu’on puisse considérer qu’il domine ainsi un "marché" olympique, une telle approche paraissant pousser jusqu’à l’absurde les raisonnements visant à permettre le jeu de la concurrence. On pourrait en effet, selon un raisonnement analogue, être amené à considérer que l’entreprise Coca-Cola domine le marché du Coca-Cola. Le marché à prendre en considération est plutôt celui du sport international en général. A cet égard, le Tribunal fédéral a considéré dans l’arrêt 5A_21/2011 précité que le CIO occupait une position dominante dans le monde du sport international en général. d) Les abus de position dominante se divisent en actes d'entrave et en actes d'exploitation, distinction qui repose sur la cible de la pratique abusive.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in CR-Droit de la concurrence, op. cit., nn. 94 ad art. 7 al. 1 LCart). Les pratiques d'exploitation visent les partenaires commerciaux. Est déterminante pour la qualification d'exploitation la volonté de tirer parti de sa rente de position dominante, sans chercher à entraver des concurrents déterminés (Clerc, op. cit., n. 98 ad art. 7 al. 1 LCart). Le comportement de l'entreprise dominante est abusif, et partant illicite, lorsqu'il n'est pas objectivement justifié (Clerc op. cit., n. 99 ad art. 7 al. 1 LCart). La doctrine considère encore que, pour que l’on soit en présence d’un acte d’entrave, il faut encore que l’entreprise ou le groupe d’entreprise concerné cherche à utiliser sa position dominante pour maximiser ses profits (Clerc, op. cit., n. 98 ad art. 7 al. 1 LCart). Pour cette raison, le Juge instructeur de la Cour civile a nié l’application de l’article 7 LCart dans un cas qui présentait certaines analogies avec la présente cause (JICC, R c. U du 7 août 2007/77). Mais cette condition – le but de maximiser ses profits – ne ressort pas du texte légal, et on peut sérieusement se demander si il se justifie de limiter de la sorte la portée de l’article 7 LCart (JICC, 24 juin 2011/87). Certes, la loi sur les cartels concerne en premier lieu les questions de concurrence, donc d’argent. La notion d’entrave, toutefois, est autre, comme on l’a vu, que celle de concurrence. Et on ne voit guère pourquoi, dans l’hypothèse où une entreprise occupant une position dominante sur le marché déciderait par exemple de boycotter un ou un groupe déterminé de fournisseurs, pour une raison idéologique mais sans en tirer aucun profit, l’article 7 LCart ne s’appliquerait pas. e)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f) En l’espèce, les requérant reprochent à l’intimé un acte d’entrave. Il aurait, par sa décision du 27 octobre 2015, exclu la participation du B.________ aux Jeux Olympiques sans raison valable, abusant ainsi d’une position dominante sur le "marché" Olympique. Ni l’Etat du J.________ ni la C.________ , qui ne sont d’ailleurs pas les destinataires de la décision querellée, n’ont toutefois la légitimation active pour faire valoir des prétentions tirée d’une supposée violation de la LCart. Aucun des deux n’est en effet membre du mouvement olympique, qui comprend le CIO, les Fédérations internationales de sport et les Comités nationaux olympiques, ainsi que leurs membres (cf art. 1 al. 1 et 2 de la Charte olympique). Selon l’art. 27 al. 2 ch. 3 de cette Charte, la compétence pour représenter un Etat aux Jeux olympiques revient exclusivement aux comités nationaux olympiques. Malgré un abus de langage courant, aucun Etat ne participe aux Jeux Olympiques, mais seulement les athlètes et le Comité national olympique provenant de cet Etat. Il découle d’ailleurs de l’art. 31 de la Charte olympique que chaque CNO peut adopter un drapeau, un emblème et un hymne propres, soumis à l’approbation du CIO. Rien n’impose ainsi l’usage du drapeau et de l’hymne nationaux, quand bien même c’est la pratique. Le B.________ aurait ainsi pu utiliser un drapeau et un hymne distincts de ceux du J.________, sans que cela affecte sa participation aux Jeux olympiques ou sa suspension. L’utilisation du drapeau et de l’hymne J.________ par le B.________ est ainsi une question strictement nationale, et ne permet pas à l’Etat du J.________ – ou à ses institutions – de prendre part aux Jeux olympiques ou aux autres activités du Mouvement olympique. La perception du public n’y change rien. En l’absence d’une telle possibilité, les requérants ne rendent pas vraisemblable qu’ils seraient victimes d’une entrave sur un quelconque "marché" (qu’il s’agisse du marché Olympique ou du marché du sport international en général) par le prononcé de la décision du 27 octobre 2015 suspendant le B.________ . Leurs prétentions au fond paraissent dans cette mesure infondées, et il ne peut pas être fait droit aux mesures provisionnelles requises à l’aune de la LCart. VII. Les requérants soutiennent que, de manière concurrente aux dispositions de la LCart, la décision du 27 octobre 2015 porte atteinte à leur personnalité, en particulier celle de l’Etat du J.________. a) Selon la jurisprudence, les règles édictées par une association, qui régissent sa vie sociale et ses relations avec ses membres, et les décisions prises en application de celles-ci ne doivent pas porter une atteinte illicite à la personnalité des membres (art. 27 et 28 CC; ATF 134 III 193 consid. 4.4 et réf. cit.). Il doit en être ainsi concernant les tiers, lorsque ces décisions touchent leurs droits.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la constatation de son caractère illicite si le trouble qu’elle a créé subsiste (al. 1 ch. 3), la communication à des tiers ou la publication d’une rectification ou du jugement (al. 2), ou encore l’octroi de dommages-intérêts ou d’une réparation du tort moral, ainsi que la remise du gain selon les dispositions sur la gestion d'affaires (al. 3). En pratique, on procédera à un examen en deux temps, afin de (1) déterminer d’abord l’existence d’une atteinte à la personnalité puis (2) d’un motif justificatif (ATF 136 III 410 consid. 2.2.1 et réf. cit.; TF 5A_354/2012 du 26 juin 2014 consid. 3). b)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 qui est assuré dans une large mesure, en Suisse, par la législation en matière de concurrence déloyale – (ATF 138 III 337 consid. 6.1 et les arrêts cités, JdT 2013 II 125 et 141, SJ 2012 I p. 355; TF 5A_354/2012 précité consid. 3; Trümpy, Le droit de la personnalité des personnes morales, et en particulier des sociétés commerciales. Thèse, Lausanne 1986, pp. 95 ss). En principe, l'art. 28 CC peut ainsi être invoqué autant par les personnes physiques que par les personnes morales (ATF 97 II 97 consid. 2; ATF 95 II 481 consid. 4). c) La question se pose toutefois de savoir dans quelle mesure des corporations de droit public peuvent invoquer leurs droits à la personnalité. Il est en effet certain qu’elles disposent d’autres voies de droit (ainsi les art. 296 ss CP [Code pénal suisse du 21 décembre 1937; RS 311.0]). Cela n’est cependant pas forcément pertinent, car celui qui est victime d’une atteinte à la personnalité doit en principe se voir reconnaître le choix de la norme sous la protection de laquelle il entend se mettre (Jeandin, CR-CC I, op. cit., n. 8 ad art. 28 CC). Le Tribunal fédéral a reconnu aux collectivités publiques le droit d’invoquer leur droit au nom (art. 29 CC), mais cela n’est pas déterminant s’agissant de l’application de l’article 28 CC. Selon Tercier (Le nouveau droit de la personnalité, Zurich 1984, n. 525, cité par Jeandin in CR-CC I, op. cit., n. 20 ad art. 28 CC) la protection de l’art. 28 CC s’appliquerait aussi aux personnes de droit public, suisses ou étrangères. Cette question est toutefois controversée (Meili in Basler Kommentar ZGB I, 5 e éd., 2014, n. 33 ad art. 28 CC et réf. cit.). Il y a lieu dans tous les cas de se montrer extrêmement restrictif. Il ne serait pas admissible en effet d’admettre par exemple une liberté d’expression étendue en matière de droit public, mais d’admettre également, sous l’angle de la protection de la personnalité, que toute critique pouvant mettre en cause l’honneur ou la réputation de l’Etat serait interdite en principe, sauf si elle est justifiée par la loi ou un intérêt privé ou public prépondérant. Or, tel serait le cas si on reconnaissait à l’Etat, sur la base de l’article 28 CC, la même protection qu’à une personne morale de droit privé. Le même raisonnement s’impose lorsqu’il s’agit d’un Etat – ou d’une corporation publique – étrangers. Si il faut reconnaître à de telles personnes morales – ce qui apparaît en définitive douteux – une certaine protection sur la base de l’article 28 CC, celle-ci devrait à tout le moins être limitée à des cas d’une gravité extrême. d) La garantie de l'art. 28 CC s'étend à l'ensemble des valeurs essentielles de la personne qui lui sont propres par sa seule existence et peuvent faire l'objet d'une atteinte (Bucher, Personnes physiques et protection de la personnalité, 4 e éd. 1999, n. 457; Deschenaux/Steinauer, Personnes physiques et tutelle,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(ATF 134 III 193 consid. 4.5 et les références citées). Les droits de la personnalité comprennent ainsi la liberté – pour les personnes physiques – d'exercer une activité sportive et de participer à des compétitions réunissant des sportifs de même niveau (Bucher, op. cit., n° 467; arrêt du Tribunal cantonal saint-gallois du 21 décembre 1990 consid. 4a, RSJ 1991 pp 284 ss).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in RDS 1996 II 135 ss, spéc. pp 188-190; cf ég. arrêt du Tribunal civil de la Sarine du 20 juin 1997 consid. 3b, RFJ 1998 pp 51 ss). La liberté et l’autonomie d’une association est ainsi limitée par les droits de la personnalité du sportif (Kaiser, Sportrecht : vom (Spannungs-)Verhältnis von Sport und Recht in AJP/PJA2011 pp 192 ss, spéc. 195). Il a également été jugé que l'exclusion d'une association peut, dans certaines circonstances, constituer une atteinte à la personnalité de l'exclu, en particulier lorsque l'association occupe une position dominante dans son propre secteur d'activité, et que la portée économique, respectivement professionnelle, de la qualité de sociétaire d'une organisation professionnelle, corporative ou sportive exige une limitation de la liberté d'exclusion. Celle-ci n'est ainsi possible que s'il existe un juste motif, ce qu'il y a lieu de déterminer en procédant à une pesée des intérêts respectifs de l'association à exclure un membre et de ce dernier à rester sociétaire (TF 5A_21/2011 du 10 février 2012, non reproduit in JdT 2013 II 38; ATF 123 III 193 consid. 2c/cc; cf ég. ATF 131 III 97 consid. 3; TF 5C.64/2006 du 3 juillet 2006 consid. 3; Riemer in Berner Kommentar, n° 47 ad art. 72 CC; Heini/Scherrer in Basler Kommentar, n° 12 ad art. 72 CC; Heini/Portmann, Das Schweizerische Vereinsrecht, in: Schweizerisches Privatrecht, tome II/5, 2005, n. 345; Perrin/ Chappuis, Droit de l'association, 2008, pp 147 ss; Baddeley, L'association sportive face au droit, p. 98; contra : Foëx in CR-CC, n° 20 ss ad art. 72 CC). Il doit en aller de même, dans certaines circonstances, lorsqu'une personne se voit refuser son admission dans une association. En effet, comme en matière d'exclusion de l'association, le refus du sociétariat peut occasionner une atteinte à la personnalité du candidat lorsqu'il s'agit de l'adhésion à une association professionnelle, corporative ou économique, ou encore à une association sportive (TF 5A_21/2011 précité et réf. cit.). Le Tribunal fédéral a ainsi considéré que le rejet de la demande de reconnaissance en tant que CNO par le CIO, c'est-à-dire le refus d'adhésion au Mouvement olympique, était, en soi, susceptible de causer une atteinte à la personnalité du recourant (même arrêt). e) Le cas d’espèce est particulier en ce sens que les requérants ne font pas, et n’ont jamais fait partie du mouvement olympique. Ils n’ont été ni exclus, ni suspendus. C’est le B.________ qui a été touché par la décision litigieuse du 27 octobre 2015. Cette décision n’est pas adressée aux requérants et ne les affecte pas directement. Ceux-ci font valoir que par une sorte d’effet de ricochet, ils seraient atteints dans leur honneur, ce qui serait contraire à l’art. 28 CC. Il est vrai que le motif d’exclusion tient au caractère supposément trop interventionniste des lois J.________, qui ne laisseraient pas au B.________ une autonomie suffisante. La décision en cause, par ces motifs, donne à penser au public que tel est le cas – à tout le moins de l’avis du CIO. Toutefois, admettre pour ces faits une violation de l’art. 28 CC reviendrait à étendre beaucoup trop loin le champ d’application de cette disposition, indépendamment de la licéité ou de l’illicéité de la décision litigieuse. Comme on l’a vu en effet, s’il fallait véritablement admettre que des personnes morales de droit public puissent invoquer cette disposition, cela ne pourrait être le cas que lorsque l’atteinte est flagrante et extrêmement importante, et tel n’est manifestement pas le cas ici. La décision du 27 octobre 2015, et l’absence subséquente du B.________ des activités du Mouvement olympique, laissent apparaître l’existence d’un conflit entre le CIO et l’Etat du J.________. Dans une moindre mesure il pourra transpirer que ce litige est dû au fait que le CIO estime que les lois de cet Etat sont trop intrusives par rapport aux associations sportives en général et au B.________ en particulier. Cela ne signifie pas encore, au vu des considérations qui précèdent, que l’honneur de l’Etat du J.________ – à supposer même qu’il soit atteint – le soit dans une mesure telle que celui-ci – ou la C.________ – puissent se prévaloir d’une atteinte à leurs droits de la personnalité. Egalement sous l’angle de la protection de la personnalité, les prétentions au fond des requérants paraissent mal fondées, ce qui entraîne le rejet de leurs conclusions prises à titre provisionnel. VIII. Enfin, on ne saurait entrer en matière sur les ingérences invoquées par les requérants, qui se fondent sur l’article 2 § 7 de la Charte des Nations Unies. Si l’on devait réellement considérer le CIO comme une quasi-entité étatique, comme le font valoir les requérants, le juge délégué de la Cour civile ne serait certainement pas compétent pour juger de l’ingérence d’une telle entité dans les affaires d’une autre entité étatique. IX. Les conclusions des requérants étant toutes rejetées dans la mesure de leur recevabilité, il n’y a pas lieu de leur fixer de délai au sens de l’art. 263 CPC. La fourniture de sûretés selon l’art. 264 CPC n’entre pas non plus en considération. X. Les frais, qui comprennent les frais judiciaires et les dépens (art. 95 al. 1 CPC), sont fixés par le droit cantonal (art. 96 CPC). Ils sont mis à la charge de la partie succombante, qui est la partie demanderesse lorsque le tribunal n’entre pas en matière (art. 106 al. 1 principio CPC). Les frais judiciaires sont compensés avec les avances fournies (art. 111 al. 1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Pour l’audition de chaque témoin, l’émolument est fixé à 100 fr. (art. 87 al. 1 in initio TFJC). En l’occurrence, au vu des conclusions prises et des opérations accomplies, les frais de justice doivent être arrêtés à 10'200 fr. (soit 10'000 fr. pour les mesures superprovisionnelles et provisionnelles et 100 fr. pour l’audition du témoin E.________, et 100 fr. pour l’audition du témoin N.________). Ces montants sont compensés sur les avances fournies par les parties. Vu le sort des requêtes de mesures superprovisionnelles et provisionnelles, les frais sont mis à la charge des requérants solidairement entre eux, qui rembourseront à l’intimé son avance de frais par 100 francs.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10'500 fr. et les débours à 525 francs. c) En définitive, les requérants, solidairement entre eux, doivent verser à l’intimé le montant de 11'125 fr. (soit 100 fr. à titre de remboursement d’avance de frais et 11'025 fr. à titre de dépens). XI.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(loi sur le Tribunal fédéral du 17 juin 2005; RS 173.110) ne s'applique pas non plus, le domaine de la procédure civile ne relevant plus du droit cantonal (Staehelin in Sutter-Somm et alii , op. cit., n. 38 ad art. 239 CPC; Oberhammer, Basler Kommentar ZPO, op. cit., n. 10 ad art. 239 CPC; Gasser/Rickli, Schweizerische Zivilprozessordnung, Kurzkommentar, Zurich 2010, n. 4 ad art. 239 CPC; contra : Tappy in Bohnet et alii , op. cit., nn 24-25 ad art. 239 CPC). Par conséquent, le présent jugement est motivé d'office. Par ces motifs, le juge délégué, statuant à huis clos et par voie de mesures provisionnelles : I. Rejette la requête de mesures provisionnelles déposée le 16 juin 2016 par les requérants Etat du J.________ et C.________ à l’encontre de l’intimé Comité International Olympique, dans la mesure de sa recevabilité. II. Met les frais de judiciaires de la procédure provisionnelle, arrêtés à 10'200 fr. (dix mille deux cent francs), à la charge des requérants, solidairement entre eux. III. Compense les frais judiciaires avec les avances versées. IV. Dit que les requérants, solidairement entre eux, doivent verser à l’intimé le montant de 11'125 fr. (onze mille cent vingt-cinq francs) à titre de dépens et de restitution d’avance de frais. Le juge délégué : Le greffier : P. Hack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