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4 vom 10. Februar 2010</w:t>
      </w:r>
    </w:p>
    <w:p>
      <w:r>
        <w:t>VD Tribunal cantonal, 2010-02-10, FR</w:t>
      </w:r>
    </w:p>
    <w:p>
      <w:r>
        <w:rPr>
          <w:b/>
        </w:rPr>
        <w:t xml:space="preserve">Quelle: </w:t>
      </w:r>
      <w:r>
        <w:t>https://mcp.opencaselaw.ch/entscheid/vd_findinfo_MP___2010___4</w:t>
      </w:r>
    </w:p>
    <w:p>
      <w:r>
        <w:t>FR: VD_FINDINFO MP / 2010 / 4 du 10 février 2010</w:t>
      </w:r>
    </w:p>
    <w:p>
      <w:r>
        <w:t>IT: VD_FINDINFO MP / 2010 / 4 del 10 febbraio 2010</w:t>
      </w:r>
    </w:p>
    <w:p>
      <w:pPr>
        <w:pStyle w:val="Heading2"/>
      </w:pPr>
      <w:r>
        <w:t>Regeste</w:t>
      </w:r>
    </w:p>
    <w:p>
      <w:r>
        <w:t>MESURE PROVISIONNELLE, RESTRICTION À LA PROPRIÉTÉ{DROITS RÉELS}, ACQUISITION DE LA PROPRIÉTÉ | 404 al. 1 CC, 404 CC, 413 al. 1 CC, 413 CC, 292 CP, 101 al. 1 ch. 1 CPC, 101 al. 1 ch. 2 CPC, 101 CPC, 102 CPC</w:t>
      </w:r>
    </w:p>
    <w:p>
      <w:pPr>
        <w:pStyle w:val="Heading2"/>
      </w:pPr>
      <w:r>
        <w:t>Erwägungen</w:t>
      </w:r>
    </w:p>
    <w:p>
      <w:r>
        <w:rPr>
          <w:b/>
        </w:rPr>
        <w:t>E. 1</w:t>
      </w:r>
    </w:p>
    <w:p>
      <w:r>
        <w:t>CC. Cette dernière disposition prévoit que les restrictions apportées au droit d'aliéner certains immeubles peuvent être annotées, lorsqu'elles résultent d'une décision officielle, rendue pour la conservation de droits litigieux ou de prétentions exécutoires; d'après l'al. 2, ces restrictions deviennent, par l'effet de leur annotation, opposables à tout droit postérieurement acquis sur l'immeuble. S'agissant des conditions de la protection par voie provisionnelle, la Cour civile s'est montrée hésitante (Pelet, op. cit. p. 205, n. 205). Elle a ainsi admis tantôt que l'art. 960 al. 1 ch. 1 CC permettait l'annotation de restrictions prononcées selon les formes et les conditions de la procédure civile du canton, tantôt qu'il suffisait que l'instant rende sa prétention plausible, de sorte que seul le droit fédéral régit la question, tantôt elle a laissé la question ouverte (JICCiv 53/2009 du 14 avril 2009, et les références citées; Poudret/Haldy/Tappy, op.cit., n. 3 ad art. 101 CPC). Quelle que soit l'opinion suivie, il faut dans tous les cas que l'instant rende vraisemblables les faits justifiant sa requête et, partant, le droit dont il requiert la protection. Le juge doit quant à lui se limiter à un examen prima facie ou sommaire, sans préjuger le fond (Poudret/Haldy/Tappy, op. cit., n. 1 ad art. 101 CPC, p. 197; Pelet, op. cit., n. 62, pp. 48 s.). En matière de restriction au droit d'aliéner de l'art. 960 al. 1 ch. 1 CC, il suffirait de rendre vraisemblable la possibilité d'une issue favorable de l'action (ATF 100 Ia 18 consid. 4a, JT 1975 II 80), la doctrine préconisant à cet égard d'appliquer les critères valables pour les inscriptions provisoires de l'art. 961 CC (Deschenaux, Le registre foncier, Traité de droit privé suisse, volume V, p. 287, note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consid. 5; SJ 1981 p. 97). L'annotation d'une restriction au droit d'aliéner ne déploie ses effets qu'à l'encontre des droits inscrits postérieurement (ATF 110 II 128, JT 1985 I 118, spéc. 120; Steinauer, Les droits réels, t. I, 4 e éd. Berne 2007, p. 282, n. 803). III.a) La prétention matérielle que les requérants entendent protéger découle de la substitution fidéicommissaire dont ils sont bénéficiaires en qualité d'appelés, et qui a fait l’objet d’une annotation au registre foncier. Ils font valoir, à cet égard, que la vente de l’immeuble grevé de la substitution n’était pas exigée par une bonne gestion de la succession et que, partant, ni l’intimée – en tant qu’héritière grevée – ni l’intimé – en tant qu’exécuteur testamentaire - ne pouvaient y procéder, respectivement y concourir, sans violer l’art. 490 al. 2 CC et l’acte de partage. Ils en concluent que les seules mesures susceptibles de protéger leurs intérêts légitimes, savoir d’empêcher la vente voire un placement inadéquat, sont celles requises en dernier lieu. Pour leur part, les intimés font valoir que le défunt avait lui-même envisagé la vente de l’immeuble et prévu que, dans ce cas, le produit net de la vente se substituerait au bien-fonds. Ils invoquent le fait que les requérants étaient parfaitement informés de la décision de l’intimée de vendre l’immeuble et du prix de vente de 3'000'000 francs et qu’ils n’ont jamais remis en cause ce prix. En outre, la vente de gré à gré a été approuvée par l’autorité tutélaire et l’autorité de surveillance. Elle a été exécutée par l’inscription au journal le 3 décembre 2009, si bien que l’intimée n’est plus propriétaire. Au demeurant, la vente est subordonnée au fait que le produit de la vente soit versé sur un compte bloqué, grevé lui-même d’une substitution fidéicommissaire. Il n’y dès lors pas de risque pour les requérants de subir un dommage difficile à réparer. Au contraire, ce serait l’intimée qui, en raison de la mesure de consignation ordonnée à titre préprovisionnel, subirait un tel dommage. b) aa) En vertu de l'art. 488 al. 1 CC, le disposant a la faculté de grever l'héritier institué de l'obligation de rendre la succession à un tiers, l'appelé. La substitution fidéicommissaire d'héritiers est ainsi une disposition pour cause de mort en vertu de laquelle la succession ou une part de la succession est acquise à titre universel par un premier héritier, le grevé, puis, quand se réalise une condition ou quand arrive un terme - soit l'ouverture de la substitution -, est transférée à titre universel du grevé à un second héritier, l'appelé (TF, arrêt 2P.31/2004, du 25 février 2005 ; Steinauer, Le droit des successions, Berne 2006, nn. 547 ss, p. 280 ; Paul Piotet, Transferts de propriété, expectatives réelles et substitutions fidéicommissaires, p. 131). La substitution fidéicommissaire règle deux dévolutions successives et elle permet au de cujus de régler le sort de ses biens de façon durable. Le grevé acquiert la succession comme tout autre héritier institué (art. 491 al. 1 CC); il en devient propriétaire, à charge de restitution (art. 491 al. 2 CC). Le grevé est héritier, mais sous condition résolutoire, tandis que l’appelé l’est sous condition suspensive (Steinauer, op. cit., n. 561 p. 286 ; Bessenich, Commentaire bâlois, 3 e éd., n. 3 ad Vorbemerkungen ad art. 488-492 CC et les réf. cit., p. 188). Comme la loi ne règle que de manière très sommaire les droits et obligations du grevé en lien avec le patrimoine spécial grevé de la substitution, la doctrine préconise de la compléter, d’une part en appliquant par analogie les règles du Code des obligations sur les conditions, soit les art. 151 ss CO ; d’autre part, comme la situation du grevé est similaire à celle de l’usufruitier, qui doit aussi restituer les biens à l’extinction de son droit, elle préconise aussi de prendre en considération les règles sur l’usufruit, soit les art. 745 ss CC, pour résoudre les questions relatives à l’usage et à l’administration des biens grevés (Tuor, Commentaire bernois, n. 12 et 15 ad Vorbemerkungen zur Nacherbeneinsetzung, pp. 238 s. ; Escher, Commentaire zurichois, nn. 3 ss ad art. 491 CC, pp. 316 ss ; Bessenich, op. et loc. cit., et n. 2 ad art. 491 CC, pp. 200 s. ; Schürmann, in Abt/Weibel (éd.), Praxiskommentar Erbrecht, n. 9 ad art. 491 CC, p. 381 ; Steinauer, op. cit., n. 563 p. 287). S’agissant du droit de disposer des biens grevés, la doctrine a dégagé les principes suivants. En tant que propriétaire, l’héritier grevé a fondamentalement le droit de disposer librement de tous les biens qui composent la succession, et ce tant du point de vue matériel que juridique. Pour ce faire, il n’est pas nécessaire qu’il recueille le consentement de l’héritier appelé (Tuor, op. cit., n. 13 ad art. 491 CC, p. 256 ; Escher, op. cit., n. 11 ad art. 491 CC, pp. 319 s. ; Bessenich, op. cit., n. 6 ad art. 491 CC, p. 203 ; Schürmann, op. cit., n. 14 ad art. 491 CC, p. 383). L’héritier n’est limité dans l’exercice de ses droits que par l’obligation, qui découle des art. 488 al. 1, 490 al. 2 et 491 al. 2 CC, de « rendre la succession ». Pour garantir cette expectative, le grevé peut proposer que la substitution fidéicommissaire fasse l’objet d’une annotation d’une restriction du droit d’aliéner (art. 490 al. 2 et 960 al. 1 ch.</w:t>
      </w:r>
    </w:p>
    <w:p>
      <w:r>
        <w:rPr>
          <w:b/>
        </w:rPr>
        <w:t>E. 3</w:t>
      </w:r>
    </w:p>
    <w:p>
      <w:r>
        <w:t>CC). L'art. 421 ch. 1 CC exige encore le consentement de l'autorité tutélaire pour vendre des immeubles. Enfin, les art. 5 et 6 RATu (Règlement concernant l'administration des tutelles et curatelles du 20 octobre 1982, RSV. 211.255.1) règlementent la manière dont les fonds du pupille doivent être placés. L'art. 5 RATu prescrit ainsi certains types de placements tels que les livrets d'épargne, les obligations étatiques ou des obligations hypothécaires (art. 5 RATu). Le tuteur peut toutefois également procéder à d'autres placements, avec l'autorisation de l'autorité tutélaire (art. 6 al. 1 RATu). Ces placements ne sont autorisés que si, de l'avis écrit de l'établissement consulté, il s'agit de valeurs suffisamment garanties et qui ne sont pas sujettes à des fluctuations importantes. Enfin, les établissements bancaires agréés figurent à l’art. 1 er du règlement du 5 mars 2002 sur la liste des établissements bancaires agréés pour le dépôt des fonds pupillaires et des établissements bancaires et négociants en valeurs mobilières agréés comme conseillers (RSV 211.255.3). c) aa) En l’espèce, par testament olographe du 25 février 1999, dont la validité n’est pas contestée, feu R.________ a désigné son épouse, l’intimée, d’une part, et sa fille née d’un premier mariage, la requérante A.D.________, d’autre part, comme ses héritières, chacune pour la moitié de ses biens ; à titre de règle de partage, il a prévu que la parcelle no [...] de [...] revienne à l’intimée ; de plus, le testateur a déclaré grever la part revenant à l’intimée d’une substitution fidéicommissaire, et désigné en tant qu’appelés la requérante A.D.________ et, à son défaut, les enfants de celle-ci, les requérants B.________ et B.D.________; si l’immeuble était aliéné, le produit de la vente serait grevé de la substitution. L’intimé a été nommé exécuteur testamentaire, avec le pouvoir de « liquider la succession et d’assurer la sauvegarde des héritiers désignés ». La substitution a été postérieurement garantie par une annotation au registre foncier sous ID [...]. L’acte de partage prévoit en outre qu’en aucun cas, il ne pourra être porté atteinte à la garantie pour les appelés que constitue cette annotation. L’instruction menée sous l’angle de la vraisemblance n’a pas révélé que le principe de la vente de gré à gré, ses modalités et ses conséquences, telles qu’approuvées par la Justice de paix et la Chambre des tutelles, ne résulteraient pas d’une bonne administration, au sens des principes rappelés ci-dessus, ni qu’elle mettraient en cause de manière inadmissible la substance du patrimoine spécial constitué par le bien-fonds en cause. Comme il a été développé plus haut, l’intimée avait le droit de disposer de l’immeuble, même si celui-ci était grevé d’une substitution fidéicommissaire. Au vu des éléments exposés par les intimés, la décision de vendre était justifiée par des considérations financières, l’intimée ne pouvant plus occuper l’immeuble personnellement et devant être hébergée dans un EMS ; or, il ressort du dossier que, prima facie, l’intimée n’est pas en mesure d’assumer le coût d’hébergement à moyen terme par ses liquidités, savoir sans procéder à la vente de l’immeuble. C’est du reste pour ce motif que l’autorité tutélaire, approuvée par l’autorité de surveillance, a notamment autorisé la vente. Ce faisant, ces autorités ont vérifié que les intérêts de la pupille étaient sauvegardés, notamment s’agissant du prix de vente. Sur ce point précis, les intérêts des requérants, appelés à la substitution, sont nécessairement également sauvegardés ; à cet égard, les obligations de l’héritier grevé ne sauraient en effet être plus étendues que celles des autorités tutélaires par rapport au patrimoine du pupille. Certes, les requérants ont recouru contre la décision de l’autorité tutélaire, et l’effet suspensif a été accordé au recours ; de plus, dans cette procédure, ils font notamment valoir que l’immeuble aurait dû être loué plutôt que vendu. Toutefois, en l’absence de tout autre élément de fait, l’autorité de céans ne peut substituer sa propre appréciation à celles des autorités tutélaires qui ont statué positivement sur la nécessité et l’opportunité de la vente ; en outre, rien ne permet de dire que toutes les autres éventualités, en particulier celles qui permettaient d’éviter la mesure ultime qu’est la vente, n’ont pas été examinées par les autorités tutélaires. Enfin, il convient de souligner que, du point de vue du principe de la bonne foi, même si les requérants s’opposent actuellement à la vente dans le cadre de la procédure provisionnelle, durant les tractations qu’ils ont menées durant l’été et l’automne 2009 avec les intimés, ils n’y étaient pas opposés, et ne se souciaient que de l’affectation du produit de celle-ci. Il s’ensuit que les requérants ne rendent pas vraisemblable qu’ils ont un droit à s’opposer à la vente de l’immeuble litigieux. bb) Cela étant, il reste à examiner la question de la garantie de l’expectative des appelés. C’est en effet sur la base de la garantie constituée par l’annotation au registre foncier de la substitution fidéicommissaire et/ou de la suppression de celle-ci que les appelés fondent leurs conclusions provisionnelles I, II et V. aaa) En l’espèce, la conclusion I, tendant qu’il soit interdit au Conservateur du registre foncier de Morges de procéder à la radiation de la substitution fidéicommissaire, est dépourvue d’objet. En effet, sur réquisition des intimés, l’annotation a été radiée par celui-ci le 24 novembre 2009. bbb) Quant à la conclusion II, tendant à l’interdiction au même conservateur d’inscrire le transfert de propriété, elle doit être rejetée. En effet, d’une part, pour les raisons exposées plus haut, les requérants ne rendent pas vraisemblable qu’ils avaient ou ont un droit à s’opposer à la vente intervenue. D’autre part, et surtout, à supposer que l’annotation de la substitution n’ait pas été radiée et qu’elle déployait donc pleinement tous ses effets, elle n’empêchait pas l’aliénation de l’immeuble à un tiers, ni l’inscription de celui-ci en qualité de propriétaire, mais lui rendait la substitution opposable à la date de son ouverture (cf. cons. IIb)aa) in fine). Ainsi, même dans l’hypothèse qui leur serait la plus favorable, les requérants ne sauraient empêcher l’inscription du tiers acquéreur en tant que propriétaire, plus précisément en l’espèce l’inscription dans le grand livre, l’inscription au journal ayant déjà été opérée (art. 942 al. 2, 945 et 972 al. 1 CC ; 26 al. 4 ORF). ccc) Enfin, dans leur conclusion V, les requérants sollicitent à titre provisionnel qu’il soit ordonné au même conservateur d'annoter une restriction du droit d'aliéner l’immeuble litigieux (V). Ils considèrent que la radiation de l’annotation de la substitution a été faite à leur insu et sans leur consentement et qu’elle est donc indue. Il s’agirait par conséquent de l’annoter à nouveau. Il est vrai qu’en l’occurrence, la validité de la radiation de l’annotation au registre foncier opérée le 24 novembre 2009 est sujette à caution. En effet, même si l’annotation de la substitution fidéicomissaire est déclarative, elle n’est pas dépourvue d’effets, comme on l’a vu plus haut (cf. III b)aa) ; cf. aussi Steinauer, Les droits réels, t. I, nn. 902 ss). Que l’on applique les règles sur les radiations extinctives ou celles sur les radiations déclaratives (sur cette différence, cf. Steinauer, Les droits réels, t. I, nn. 758 à 762a et 763 s.), le consentement des appelés à la substitution s’imposait, dans la mesure où ceux-ci sont titulaires du droit annoté (art. 964 al. 1 CC). Or, en l’occurrence, la réquisition de radiation au registre foncier émanait des intimés, à savoir de la propriétaire et de l’exécuteur testamentaire, et non pas des requérants, savoir des appelés. En outre, quand les requérants ont su que les intimés préparaient la vente de l’immeuble, ils ont écrit le 29 juillet 2009 au Conservateur du registre foncier qu’ils ne consentaient pas à la radiation de l’annotation. Au demeurant, celui-ci en était parfaitement conscient puisqu’il a écrit le lendemain aux requérants qu’en cas de vente, le notaire instrumentateur devrait au préalable obtenir la radiation de l’annotation. Enfin, il n’est pas établi que les requérants aient à aucun moment consenti par écrit à cette radiation. L’instruction limitée qui a été menée sur ce point n’a pas permis de savoir ce qui avait conduit le Conservateur à opérer la radiation, en dépit du fait que les appelés n’y avaient pas consenti. A cet égard, il est vraisemblable que la décision de l’autorité tutélaire ait joué un rôle. En effet, à sa lecture, on comprend que l’autorité tutélaire part – faussement - du principe qu’elle est en droit non seulement d’autoriser la vente de gré à gré – ce qui est de sa compétence – mais également de surseoir au consentement à la radiation de l’annotation devant être donné par les appelés, moyennant que leurs droits soient garantis autrement, savoir par le versement du produit net de la vente sur un compte bloqué. L’autorité tutélaire est en effet d’avis que ce versement offre « la même garantie que l’annotation » (p. 4). En réalité, l’autorité tutélaire ne pouvait pas s’arroger le droit de passer outre l’annotation au registre foncier, même en substituant à celle-ci d’autres sûretés ; elle le pouvait d’autant moins que les appelés n’étaient pas parties à la procédure qui se déroulait devant elle et que leurs droits étaient en cause. Si elle estimait que les appelés abusaient de leur droit de s’opposer à la vente, il lui incombait de réserver sa décision et d’inviter les parties à vider au préalable ce conflit devant les autorités judiciaires civiles compétentes. Les requérants rendent ainsi vraisemblable que l’annotation de la substitution fidéicommissaire n’aurait pas dû être radiée sans leur consentement. Cette conclusion n’implique cependant pas que la conclusion V puisse être allouée. En effet, entre la radiation litigieuse, d’une part, et la saisine du juge instructeur de la Cour civile et la reddition de mesures préprovisionnelles, d’autre part, l’immeuble a été vendu à un tiers (ce que le juge instructeur ignorait à la date à laquelle il a statué) dont la bonne foi est présumée. Quand ce tiers a acquis l’immeuble, le registre foncier était libre de toute annotation. Il a pu donc se fier de bonne foi à son contenu. En outre, ce tiers acquéreur n’est pas partie à la présente procédure ni n’a été invité à se déterminer. Sauf à violer gravement son droit à être entendu, aucune mesure du type de celle qui est requise, qui lèserait irrémédiablement son droit de propriété puisqu’elle impliquerait qu’il serait évincé lors de l’ouverture de la substitution fidéicommissaire, ne peut être décidée. Pour ces motifs, la conclusion V ne peut qu’être rejetée. ddd) Il reste enfin d’examiner la conclusion VI, qui tend à faire ordonner aux intimés, pour le cas où l'immeuble objet du litige serait aliéné, de consigner ou de faire consigner l'intégralité du prix de vente en mains de la Justice de paix du district de Morges. En l’espèce, le 17 décembre 2009, le Juge instructeur de la Cour civile a fait droit à cette conclusion à titre préprovisionnel. En exécution de cette décision, le produit de la vente de l'immeuble, sous déduction de l'impôt sur le gain immobilier, a été transféré sur un compte de la Justice de paix du district de Lausanne et de l'Ouest lausannois par virement du 22 décembre 2009. Conformément à la décision de l’autorité tutélaire du 6 octobre 2009, qui a été approuvée par l’autorité de surveillance le 2 novembre 2009, le produit net de la vente devait être placé sur un compte bloqué, grevé de substitution fidéicommissaire, qui ne pourrait être débloqué qu’avec l’accord des requérants, de l’intimée et de l’autorité tutélaire. L’instruction n’a pas révélé quelles étaient les conditions auxquelles ce compte était soumis. Toutefois, dans la mesure où il dépend de l’autorité tutélaire, il doit au moins respecter les exigences des art. 5 et 6 RATu. Vu le blocage et le principe de prudence traduit par ces exigences, on voit mal comment les droits des requérants seraient susceptibles de subir un dommage difficilement réparable. On voit mal aussi en quoi l’allocation de la conclusion VI permettrait de prévenir plus la survenance d’un tel dommage que les conditions prévues par la décision de l’autorité tutélaire. Les requérants ne l’expliquent au demeurant pas. La conclusion VI doit donc être rejetée. IV. Les conclusions provisionnelles étant rejetées, les ordonnances préprovisionnelles des 7 et 17 décembre 2009 sont révoquées. Toutefois, dans la mesure où les requérants ont recouru contre la décision de l’autorité tutélaire du 6 octobre 2009, sans que l’on sache le sort réservé à ce recours, la révocation de l'ordonnance du 17 décembre 2009 ne sera définitive et exécutoire qu'à l'expiration du délai de recours ou d'appel contre la présente ordonnance ou à droit connu sur celui-ci. V. Les frais de la procédure provisionnelle sont arrêtés à 1'305 fr. pour les requérants A.D.________, B.________ et B.D.________, solidairement entre eux (art. 4 al. 1, 5 al. 1, 170 et 170a du tarif du 4 décembre 1984 des frais judiciaires en matière civile ; RSV 270.11.5). Les intimés RV.________ et I.________ obtiennent entièrement gain de cause. Agissant par l'intermédiaire d'un mandataire professionnel, ils ont droit à une participation aux honoraires de celui-ci à hauteur de 1'500 fr. au titre de dépens de la procédure provisionnelle (art. 92 al. 1 er CPC ; art. 2 al. 1 er ch. 4 et 5 tarif des honoraires d’avocat dus à titre de dépens ; RSV 177.11.3). Par ces motifs, le juge instructeur, statuant à huis clos et par voie de mesures provisionnelles : I. Rejette les conclusions provisionnelles prises par les requérants, A.D.________, B.________ et B.D.________, à l'encontre des intimés RV.________ et I.________ selon requête du 4 décembre 2009, dans la mesure où elles sont recevables. II. Révoque l'ordonnance de mesures préprovisionnelles du 7 décembre 2009. III. Révoque l'ordonnance de mesures préprovisionnelles du 17 décembre 2009. IV. Dit que la révocation de l'ordonnance du 17 décembre 2009 ne sera définitive et exécutoire qu'à l'expiration du délai de recours ou d'appel contre la présente ordonnance ou à droit connu sur celui-ci. V. Arrête les frais de la procédure provisionnelle à 1'305 fr. (mille trois cent cinq francs) pour les requérants, solidairement entre eux. VI. Condamne les requérants, solidairement entre eux, à verser aux intimés, solidairement entre eux, le montant de 1'500 fr. (mille cinq cent francs) à titre de dépens de la procédure provisionnelle. VII. Rejette toutes autres et plus amples conclusions. VIII. Déclare la présente ordonnance, hormis son chiffre III, immédiatement exécutoire, nonobstant recours ou appel. La juge instructeur :              La greffière : F. Byrde              C. Maradan Du L'ordonnance qui précède, dont le dispositif a été expédié pour notification aux parties le 15 mars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