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23 vom 11. Oktober 2010</w:t>
      </w:r>
    </w:p>
    <w:p>
      <w:r>
        <w:t>VD Tribunal cantonal, 2010-10-11, FR</w:t>
      </w:r>
    </w:p>
    <w:p>
      <w:r>
        <w:rPr>
          <w:b/>
        </w:rPr>
        <w:t xml:space="preserve">Quelle: </w:t>
      </w:r>
      <w:r>
        <w:t>https://mcp.opencaselaw.ch/entscheid/vd_findinfo_MP___2010___23</w:t>
      </w:r>
    </w:p>
    <w:p>
      <w:r>
        <w:t>FR: VD_FINDINFO MP / 2010 / 23 du 11 octobre 2010</w:t>
      </w:r>
    </w:p>
    <w:p>
      <w:r>
        <w:t>IT: VD_FINDINFO MP / 2010 / 23 del 11 ottobre 2010</w:t>
      </w:r>
    </w:p>
    <w:p>
      <w:pPr>
        <w:pStyle w:val="Heading2"/>
      </w:pPr>
      <w:r>
        <w:t>Regeste</w:t>
      </w:r>
    </w:p>
    <w:p>
      <w:r>
        <w:t>CLAUSE PÉNALE, POURSUITE POUR DETTES, SUSPENSION DE LA PROCÉDURE | 160 al. 1 CO, 85a LP</w:t>
      </w:r>
    </w:p>
    <w:p>
      <w:pPr>
        <w:pStyle w:val="Heading2"/>
      </w:pPr>
      <w:r>
        <w:t>Erwägungen</w:t>
      </w:r>
    </w:p>
    <w:p>
      <w:r>
        <w:rPr>
          <w:b/>
        </w:rPr>
        <w:t>E. 4</w:t>
      </w:r>
    </w:p>
    <w:p>
      <w:r>
        <w:t>ème éd., nn. 821 et 858; ATF 132 II 89; JT 1999 III 25; ATF 87 III 23). b) Il est vrai qu’en l’espèce l’action provisionnelle n’est pas ouverte au for de la poursuite litigieuse, qui se trouve à [...]. Cependant, les parties ayant conclu une élection de for en faveur des tribunaux ordinaires du canton de Vaud, la requête du requérant a été déposée devant l’autorité compétente ratione loci . Au demeurant, le tribunal du lieu de la poursuite a déjà décliné sa compétence le 19 juillet 2010, si bien que l’entrée en matière devrait de toute manière être admise dans le but d’éviter un conflit négatif de juridictions. III. a) La suspension provisoire de la poursuite au sens de l’art. 85a al. 2 LP constitue une mesure qui peut être ordonnée dans le cadre de mesures provisionnelles ou provisoires (Schmidt, Commentaire romand, n. 7 ad art. 85a LP; Brönnimann, Zur Klage nach Art. 85a SchKG, in Aktuelle Juristische Praxis [AJP/PJA] 1996 pp. 1394 ss, spéc. 1398), lesquelles sont en principe régies, de par leur nature d’institution procédurale, par le droit de procédure cantonal. Dans certains cas néanmoins, le droit fédéral réglemente lui-même le type de mesures envisageables ainsi que leurs conditions, cela afin de garantir son application effective et uniforme (Tenchio, Feststellungsklagen und Feststellungsprozess nach Art. 85a SchKG, thèse Zurich 1999, p. 162; Pelet, Réglementation fédérale des mesures provisionnelles et procédure civile cantonale contentieuse, thèse Lausanne 1986, nn. 40-41). A l’art. 85a al. 2 LP, le législateur fédéral a ainsi fixé le principe et le cadre des mesures provisionnelles, régies exclusivement par le droit fédéral (Reeb, La suspension provisoire de la poursuite selon l’art. 85a al. 2 LP, in Schuldbetreibung und Konkurs im Wandel : Festschrift 75 Jahre Konferenz der Betreibungs- und Konkursbeamten der Schweiz, pp. 273 ss, p. 277). b) ba) La recevabilité de la requête de suspension provisoire de la poursuite de l’art. 85a al. 2 LP suppose qu’une action en constatation et en annulation au sens du premier alinéa de cette disposition ait valablement été déposée (Tenchio, op. cit.,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quand bien même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 n° 27/2008, c. Ia; Reeb, op. cit., p. 277; Gilliéron, op. cit., n. 73 ad art. 85a LP; dans le même sens : TF 5P_69/2003 du 14 avril 2003 c. 5.3). bb) L’existence d’une poursuite pendante et valable est une autre condition de recevabilité de l’action selon l’art. 85a LP (TF 5A_712/2008 du 2 décembre 2008 c. 2.1; ATF 127 III 41 c. 4c, JT 2000 II 98),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 4c-d, JT 2000 II 98). L’art. 85a LP tend ainsi à corriger ce qui est souvent ressenti comme une rigueur excessive du droit des poursuites (Message du Conseil fédéral du 8 mai 1991, concernant la révision de la loi fédérale sur la poursuite pour dettes et la faillite, FF 1991 III 79 ss).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L’absence d’opposition formée en temps utile est dès lors une condition de recevabilité de l’action (ATF 128 III 334). La procédure accélérée de l’art. 85a LP est une voie de droit extraordinaire, qui, pour affiner le système, est juxtaposée aux voies de droit ordinaires (opposition dans le délai légal, le cas échéant prolongé ou restitué, et opposition tardive en cas de changement dans la personne du poursuivant; procédure judiciaire sommaire et contradictoire d’annulation de l’opposition par la mainlevée), mais elle est, comme les voies de droit ordinaires, indépendante de la procédure de plainte et de recours aux autorités de surveillance (Gilliéron, op. cit., n. 15 ad art. 85a LP). bc) Selon l’art. 85a al. 2 ch. 2 LP,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l’art. 162 LP ou des mesures conservatoires fondées sur l’art. 170 LP (FF 1991 III 81; cf. Reeb, op. cit., p. 282), afin de permettre au créancier poursuivant d’obtenir une garantie pour sa prétention dans la poursuite (TF 5P_69/2003 du 14 avril 2003 c. 5.2; Reeb, op. cit., p. 282; Gilliéron, op. cit., n. 72 ad art. 85a LP; Schmidt, op. cit., n. 8 ad art. 85a LP; FF 1991 III pp. 1 ss, spéc. p. 81). La déclaration de faillite empêchant l’examen du mérite de l’action en annulation, et le juge de la faillite n’ayant pas la compétence de surseoir à statuer en raison du dépôt d’une telle procédure (cf. art. 173 al. 1 et 3 LP), l’octroi de la suspension provisoire, avant la déclaration de la faillite, constitue donc le seul moyen dont dispose le poursuivi pour sauvegarder son droit à l’examen au fond de la demande (TF 5A_712/2008 du 2 décembre 2008). c) En l’espèce, il est établi que le requérant n’a pas formé opposition au commandement de payer n° [...] de l’Office des poursuites d’ [...] dans les dix jours suivant le 26 mai 2010, date de sa notification. La poursuite a suivi son cours et se trouve au stade de la commination de faillite. Si le requérant ne paie pas le montant de 800’000 fr., demandé dans la poursuite, la faillite sera prononcée. A l'inverse, s’il le paie, il dispose d’une action en répétition de l’indu, mais on ignore si l’intimée pourrait le lui rembourser au terme de cette action. Il apparaît donc que le requérant dispose d’un intérêt actuel à la suspension provisoire de la poursuite en cours. L’intimée objecte à cet égard que la poursuite est déjà suspendue par la décision sur plainte. Il est vrai que le requérant a attaqué le commandement de payer qui a été notifié à sa secrétaire le 26 mai 2010. Bien que le Président du Tribunal de district de [...] ait déclaré, le 15 juillet 2010, que la plainte était suspendue, on doit comprendre que c’est la poursuite elle-même qui l’était. Néanmoins, au vu des précisions apportées par les parties à l’audience des mesures provisionnelles du 11 octobre 2010, il est évident que la décision de l’autorité de surveillance interviendra très prochainement. Dans l’hypothèse où le juge zurichois rejetterait la plainte, donc validerait la notification du commandement de payer et refuserait d’annuler la commination de faillite, le requérant se trouverait très rapidement sans protection, si la présente requête était déclarée irrecevable à cause de la suspension de la plainte. Il serait en outre contraire au principe de l’économie de procédure d’obliger le requérant à attendre le prononcé de l’autorité de surveillance et de renouveler, cas échéant, sa requête de mesures provisionnelles. La voie de la plainte utilisée par le requérant n’entre aucunement en conflit avec la présente requête. On doit dès lors admettre que le requérant est au bénéfice d’une protection précaire, laquelle ne suffit pas pour lui nier un intérêt aux mesures provisionnelles. Par ailleurs, le requérant a été autorisé, par convention du 6 octobre 2010 ratifiée le 8 octobre suivant, à prendre une conclusion expresse en constatation négative du droit et en annulation au sens de l’art. 85a LP. Ces conclusions, prises dans le cadre d’une procédure d’exécution forcée ouverte par l’intimée, sont connexes à l’action en reconnaissance de dettes ouverte par l’intimée le 12 mai 2010 devant la cour de céans. Il y a en outre lieu de relever que le requérant avait déjà pris une conclusion en constatation négative de droit dans sa réponse du 12 juillet 2010 et que les conclusions autorisées par la réforme avaient d’abord été prises au for de la poursuite le 14 juillet 2010, sans toutefois aboutir à cause de la question de la litispendance créée par la demande déposée par l’intimée devant la cour de céans. On ne voit pas quel motif procédural – et aucune des parties ne l’allègue – pourrait s’opposer à la recevabilité des conclusions en constatation négative du droit et en annulation du requérant. On doit ainsi considérer à ce stade que les conditions de recevabilité des conclusions en constatation et en annulation de la poursuite sont très vraisemblablement réalisées. Le requérant a ouvert la présente action après la notification de la commination de faillite intervenue le 1 er juillet 2010, et l’intimée n’a apparemment pas requis que l’inventaire des biens soit dressé. La procédure d’exécution forcée en est à la veille de l’ouverture de faillite, qui constitue le terme ultime après quoi l’annulation ou la suspension n’ont plus de raison d’être. La requête a donc été présentée en temps utile. Au vu de ce qui précède, la requête de mesures provisionnelles déposée par le requérant est recevable. Il reste à déterminer si les conditions matérielles de dite requête sont également remplies. IV. Le législateur a introduit l’art. 85a LP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c. 2c p. 151/152 et les références). Le juge n’ordonne la suspension provisoire de la poursuite que si la demande « est très vraisemblablement fondée » (art. 85a al. 2 LP).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(Pelet, op. cit., nn. 57, 62 et 64). La simple vraisemblance ne suffit toutefois pas dans le cadre de la suspension provisoire de l’art. 85a al. 2 LP, cette disposition fixant des conditions plus restrictives à son admission en ce sens que la demande doit être « très vraisemblablement fondée » (TF 5P_69/2003 du 14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op. cit., n. 9 ad art. 85a LP; Brönnimann, op. cit., p. 1398; Tenchio, op. cit., pp. 167 à 170). Ainsi, le degré de preuve requis doit dépasser la simple vraisemblance, sans pour autant que la certitude soit requise (Gilliéron, op. cit., n. 71 ad art. 85a LP). V. a) Selon l’art. 160 al. 1 CO, le créancier peut exiger la peine stipulée par le contrat en vue de l’inexécution ou de l’exécution imparfaite de ce dernier. En l’espèce, les parties ont convenu une peine de 800’000 fr. si l’une d’elles ne veut pas ou ne peut pas donner suite aux obligations qui découlent pour elle de l’acte de vente n° 5’494. La question à résoudre est celle de savoir s’il est rendu hautement vraisemblable à ce stade de la procédure que le requérant ne doit pas la peine conventionnelle. b) L’intimée soutient que le requérant a violé ses obligations contractuelles, parce que, selon elle, le jour de l’exécution de la vente à terme, le permis de construire de la parcelle n° 623 n’était pas définitif et exécutoire. Il ressort de la promesse de vente du 24 juin 2008 qu’à cette date, une procédure pendante faisait obstacle à la délivrance du permis de construire. Celui-ci a finalement été accordé par décision de la Municipalité de M.________ du 26 octobre 2009. A cette date, il était certes prévu que le requérant paie les montants de 9’280 fr. 40, 502’030 fr. et 120’000 fr. au titre de taxes. A la lecture de la décision d’octroi et des conditions particulières communales, il apparaît que l’entrée en vigueur du permis était subordonnée au paiement du montant de 120’000 fr., que le requérant a payé le 10 novembre 2009. Il n’est en revanche pas indiqué que le non-paiement des deux autres montants empêchait l’entrée en force du permis. Le constat de carence du</w:t>
      </w:r>
    </w:p>
    <w:p>
      <w:r>
        <w:rPr>
          <w:b/>
        </w:rPr>
        <w:t>E. 8</w:t>
      </w:r>
    </w:p>
    <w:p>
      <w:r>
        <w:t>avril 2010 ne contient pas non plus d’indications à ce propos. Il vaut la peine de mentionner, à cet égard, que dans sa demande du 12 mai 2010, soit un mois après le constat de carence, l’intimée a affirmé, à ses allégués 22 et 23, que le permis délivré le 26 octobre 2009 était entré en force. A cela s'ajoute que selon le contrat de vente à terme du 24 juin 2008, la vente était soumise à la condition que le permis soit délivré de manière définitive et exécutoire; dans l’hypothèse où cette condition ne serait pas réalisée jusqu’au 1 er novembre 2010 et aucun acte de prolongation signé, la vente serait purement et simplement caduque. Au vu de cette clause, si par hypothèse le permis n’était pas entré en force le 8 avril 2010, les conditions de la vente n'étaient pas réunies, et le requérant – ni l'intimée d'ailleurs – ne pouvait pas s'exécuter. Il n'y aurait ainsi pas eu de carence du requérant. c) L’intimée fait également valoir que le requérant lui a réclamé les montants susmentionnés par télécopie du 8 avril 2010, envoyée quelques heures avant la séance visant l’exécution de la vente. Cela ne suffit pas pour considérer que le requérant aurait violé l’une des obligations de la vente à terme – on ne voit pas laquelle. Au demeurant, la vente à terme à son chiffre II point 7 in fine et chiffre III lettre d in fine prévoit que l’acquéresse supportera l’émolument relatif à l’obtention du permis de construire et pourrait supporter le montant de 850’000 fr. dû à l’architecte. On ne saurait dès lors considérer, au stade des mesures provisionnelles en tous cas, que la demande en paiement du requérant était dénuée de tout fondement conventionnel et qu’elle avait pour seul but de décourager l’exécution de la vente à terme. Cette question n'est de toute manière pas décisive, au vu de ce qui suit. d) La véritable question à résoudre est celle de savoir si l'intimée avait, le 8 avril 2010, voire le 12 mai suivant, satisfait à ses propres obligations. Ce n'est qu'à cette condition que l'on pourrait considérer que le requérant n'avait pas donné suite aux obligations qui découlaient pour lui du contrat de vente à terme, et que la clause pénale serait due. A cet égard, le constat de carence du 8 avril 2010 n'est d'aucun secours, dans la mesure où il semble constater la carence des deux parties. Le requérant soutient que le jour de l’exécution de la vente litigieuse, l’intimée n’avait pas acquitté le solde du prix de vente de 7’600’000 fr., ni les intérêts dus, sur le compte de l’Association des Notaires Vaudois n° [...] ouvert auprès d’Y.________SA conformément au contrat. Il ressort en effet de l’instruction qu’au moment de la signature de l’acte de transfert, le solde du prix de vente n’avait pas été payé, alors que le contrat de vente à terme conditionnelle prévoyait qu’il serait versé sur le compte susmentionné « d’ici au jour de l’exécution de la présente vente ». Le témoin Z.________ a certes confirmé que l’argent pouvait être versé pratiquement instantanément par la Banque D.________ le jour du transfert. Toutefois, le témoin a aussi déclaré que l’argent ne devait pas être versé à l’Y.________SA, ce qui était pourtant prévu par l’acte notarié. A cela s’ajoute que selon les pièces produites par ce témoin, sur le compte ouvert sous sa rubrique à la Banque D.________, il n'y avait que 150’000 fr., ce qui était manifestement insuffisant. Une bonne partie de l’argent se trouvait sur un compte à l’Y.________SA. Interrogé en audience, le témoin précité a indiqué qu’il avait toujours sur son compte clients ouvert à la Banque D.________ un montant oscillant entre 10 et 15 millions. On ne dispose cependant pas d’éléments probants qui puissent corroborer cette affirmation, l’extrait de comptabilité interne produit par le témoin n’étant pas à lui seul suffisant. Il apparaît ainsi douteux que le versement du solde du prix de vente aurait réellement pu intervenir instantanément. Cette question peut toutefois rester ouverte, eu égard à ce qui suit. e) Le contrat de vente à terme conditionnelle stipule que l’intimée devait remettre au requérant, jusqu’au jour du transfert, une garantie de couverture financière pour un montant de 5’210’658 fr. 20. Le montant susmentionné devait être payé dans les trente jours suivant le paiement du solde du prix de vente, mais la garantie devait exister le jour de la signature de l’acte de transfert. L'intimée a certes produit deux actes de cautionnement instrumentés par le notaire S.________, le 7 avril 2010, soit la veille de la séance de signature. Force est toutefois de constater que le vendeur n’avait pas la possibilité de vérifier la solvabilité des cautions, alors que le contrôle de celle-ci lui était d’autant plus nécessaire que le montant en jeu était important. Il aurait fallu disposer d’un certain délai à cet effet. A cela s'ajoute que l’une des cautions, V.________, qui se portait caution pour un montant de 3’100’000 fr., était domicilié à l’étranger. Il ressort d’ailleurs des pièces produites en audience que l’intéressé faisait l’objet d’un séquestre portant sur 229'915 fr. 60 et d’autres poursuites qui au 30 septembre 2010, totalisaient plus de 45'000 francs. Enfin, et ce point est décisif à lui seul, le montant de 1’091’238 francs prétendument consigné chez le notaire Z.________ ne l’était pas. La consignation à titre de sûreté est l’opération par laquelle une personne, le consignant, agissant individuellement, remet une chose mobilière à une autre personne, le consignataire, en faveur d’un tiers bénéficiaire. Le consignataire s’engage à la conserver jusqu’à ce que ce tiers ou le consignant soit autorisé à lui en réclamer la délivrance. Il s’agit d’une forme particulière de dépôt. La consignation à titre de garantie ou de sûreté est un dépôt ordinaire, mais effectué auprès d’un tiers, afin de garantir un créancier (Barbey, Commentaire romand, n. 5 ad art. 480 CO). L’art. 479 CO, qui est applicable dans ce cas, interdit au dépositaire de restituer la chose déposée à un tiers qui prétend en être propriétaire, en dehors d’une procédure judiciaire de saisie ou de revendication. Il découle de ces principes que si le montant de 1’091’238 fr. avait été consigné à titre de sûreté, il aurait été remis au notaire Z.________ par l'intimée et celui-là se serait engagé à le conserver jusqu'à ce que le requérant et l’intimée lui aient donné l'ordre de le verser. Dans les faits, le montant en question appartenait à X.________SA, voire à G.________SA; toujours est-il qu’il ressort du témoignage clair du notaire Z.________ que sa cliente pouvait lui demander à tout moment la restitution de ses fonds. Les fonds en question ont d'ailleurs été rendus. Il s'ensuit qu'à aucun moment ce montant n'a été consigné. La déclaration du notaire Z.________ signifiait seulement qu'au moment de la séance du 8 avril 2010, il était en possession du 1'091'238 francs. Mais ce montant ne constituait en aucune façon une garantie, telle qu'elle était prévue à l'article VII du contrat de vente à terme conditionnelle et droit d'emption, puisque si sa cliente lui en donnait l'ordre – serait-ce même le lendemain de la séance – le notaire lui aurait versé cette somme en retour. f) Il suit de ce qui précède que l'on ne saurait considérer que l'intimée avait consigné la somme de 1'091'238 fr. ni que l'intimée avait constitué la garantie prévue au chiffre VII du contrat de vente à terme conditionnelle. L'intimée n'avait pas – et ceci peut être retenu comme relevant de la haute vraisemblance – rempli ses obligations. Le requérant n'avait dès lors pas l'obligation de procéder au transfert de la parcelle n° 623. Le requérant réussit ainsi, du moins au stade de la procédure provisionnelle, à démontrer avec une haute vraisemblance que la dette déduite de la clause pénale n’existe pas, ce qui justifie la suspension de la poursuite dirigée à son encontre. Sa requête de mesures provisionnelles doit par conséquent être admise. VI. Dans son procédé écrit du 24 septembre 2010, l’intimée a requis que le requérant soit condamné à fournir les sûretés, en vertu de l’art. 107 CPC-VD (Code de procédure civile vaudois du 14 décembre 1966 dans sa version au 31 décembre 2010). Selon cette disposition, la partie requérante fournit caution ou dépôt pour assurer les dommages-intérêts qui peuvent résulter des mesures provisionnelles. Suivant les circonstances, elle peut en être dispensée (al. 1 et 2). La fourniture de sûretés doit être ordonnée si les mesures admises restreignent l’activité d’une partie et peuvent lui causer un dommage (Poudret/Haldy/Tappy, procédure civile vaudoise, n. 1 ad art. 107 CPC-VD et les références citées). En l’espèce, il n’est pas rendu vraisemblable, ni même allégué, que la suspension de la poursuite dirigée contre le requérant entraverait l’activité de l’intimée. Ce qui pourrait éventuellement engendrer un préjudice pour dite activité et justifierait le cas échéant la fourniture de sûretés, c’est le non-transfert de propriété de la parcelle n° 623. Or, cette problématique fait l’objet de la conclusion au fond de l’intimée et non des conclusions provisionnelles. Au demeurant, on ne dispose pas d’indices que le requérant serait insolvable. Dans ces circonstances, le requérant peut être dispensé de fournir les sûretés. VII. Les frais de la procédure provisionnelle sont arrêtés à 3’000 fr. pour le requérant et à 245 fr. pour l’intimée (art. 170a et 171 TFJC [Tarif des frais judiciaires en matière civile du 4 décembre 1984, applicable par renvoi de l'art. 99 al. 1 TFJC [Tarif du 28 septembre 2010 des frais judiciaires civils; RSV 270.11.5]). Le requérant, qui obtient gain de cause, a droit à des dépens, à la charge de l’intimée, qu’il convient d’arrêter à 5’000 fr. au titre de participation aux honoraires de son conseil (art. 92 al. 1, 109 al. 1 CPC-VD; 2 al. 1 ch. 3 et 5, art. 3 et 4 du TAv. [Tarif des honoraires d’avocat dus à titre de dépens], applicable par renvoi de l'art. 26 al. 2 TDC [Tarif du 23 novembre 2010 des dépens en matière civile; RSV 270.11.6]). Par ces motifs, le juge instructeur, statuant à huis clos et par voie de mesures provisionnelles : I. Admet la requête de mesures provisionnelles déposée le 19 août 2010 par le requérant K.________ contre l’intimée F.________SA. II. Ordonne la suspension provisoire de la poursuite n° [...] de l’Office des poursuites d’ [...] dirigée contre K.________ sur réquisition de F.________SA, jusqu’à droit définitivement connu sur le fond du litige. III. Dispense le requérant de fournir les sûretés. IV. Arrête les frais de la procédure provisionnelle à 3’000 fr. (trois mille francs) pour le requérant et à 245 fr. (deux cent quarante-cinq francs) pour l’intimée. V. Condamne l’intimée à verser au requérant le montant de 5’000 fr. (cinq mille francs) à titre de dépens de la procédure provisionnelle. VI. Déclare la présente ordonnance immédiatement exécutoire nonobstant recours ou appel. VII. Rejette toutes autres ou plus amples conclusions. Le juge instructeur:              La greffière : P. Hack              E. Umulisa Musaby Du L’ordonnance qui précède, dont le dispositif a été expédié pour notification aux parties le 22 octobre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