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20 vom 26. Oktober 2009</w:t>
      </w:r>
    </w:p>
    <w:p>
      <w:r>
        <w:t>VD Tribunal cantonal, 2009-10-26, FR</w:t>
      </w:r>
    </w:p>
    <w:p>
      <w:r>
        <w:rPr>
          <w:b/>
        </w:rPr>
        <w:t xml:space="preserve">Quelle: </w:t>
      </w:r>
      <w:r>
        <w:t>https://mcp.opencaselaw.ch/entscheid/vd_findinfo_MP___2009___20</w:t>
      </w:r>
    </w:p>
    <w:p>
      <w:r>
        <w:t>FR: VD_FINDINFO MP / 2009 / 20 du 26 octobre 2009</w:t>
      </w:r>
    </w:p>
    <w:p>
      <w:r>
        <w:t>IT: VD_FINDINFO MP / 2009 / 20 del 26 ottobre 2009</w:t>
      </w:r>
    </w:p>
    <w:p>
      <w:pPr>
        <w:pStyle w:val="Heading2"/>
      </w:pPr>
      <w:r>
        <w:t>Regeste</w:t>
      </w:r>
    </w:p>
    <w:p>
      <w:r>
        <w:t>ANNOTATION, MESURE PROVISIONNELLE, LIMITATION{EN GÉNÉRAL}, POUVOIR DE DISPOSER, VENTE D'IMMEUBLE | 665 CC, 960 CC, 101 al. 1 ch. 1 CPC, 102 CPC</w:t>
      </w:r>
    </w:p>
    <w:p>
      <w:pPr>
        <w:pStyle w:val="Heading2"/>
      </w:pPr>
      <w:r>
        <w:t>Erwägungen</w:t>
      </w:r>
    </w:p>
    <w:p>
      <w:r>
        <w:rPr>
          <w:b/>
        </w:rPr>
        <w:t>E. 10</w:t>
      </w:r>
    </w:p>
    <w:p>
      <w:r>
        <w:t>décembre 1907 - RS 210), celui qui est au bénéfice d'un titre d'acquisition peut exiger que le propriétaire fasse opérer l'inscription; en cas de refus, il peut demander au juge l'attribution du droit de propriété. L'action fondée sur cette disposition présuppose la conclusion du contrat principal ou le jugement qui en tient lieu (ATF 97 II 48, JT 1972 I 58), car l'attribution par le juge peut suppléer à l'autorisation de l'inscription mais non à la cause de l'acquisition de la propriété (ATF 50 II 375). Le jugement rendu à la suite d'une telle action en exécution est un jugement formateur, attribuant directement la propriété au demandeur, qui peut requérir lui-même l'inscription (TF 5P.19/2005 du 25 mai 2005). Naturellement, le titre d'acquisition doit être invoqué contre le propriétaire lui-même et non contre un tiers; autrement dit, il faut que le propriétaire soit en même temps l'aliénateur de l'immeuble (ATF 75 II 131, JT 1950 I 90). d) Selon l'art. 102 al. 1 ch. 5 CPC, le juge peut, entre autres mesures, ordonner l'interdiction de disposer d'un bien meuble ou immeuble, soumise aux conditions de l'art. 101 al. 1 ch. 1 CPC (JICCiv., M. c. V., 26 octobre 1992). Selon l'art. 102 al. 1 ch. 6 CPC, le juge peut également ordonner une annotation au registre foncier en vertu de l'art. 960 al. 1 ch. 1 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Les droits dont il est question à l'art. 960 al. 1 ch. 1 CC sont des prétentions personnelles, relatives à un immeuble déterminé, et qui tendent au transfert de la propriété (art. 665 CC), à la constitution de droits réels limités, comme aussi à leur radiation (art. 963 al. 1 et 964 CC), à l'annotation de droits personnels visés par l'art. 959 CC (Deschenaux, Le registre foncier, Traité de droit privé suisse, V, II, 2, p. 284 ; Pelet, op. cit., n. 202, p. 186). Il s'agit chaque fois de prétentions qui, si elles sont reconnues, entraîneront une modification au registre foncier (Deschenaux, op. cit., p. 284; Steinauer, Les droits réels, tome I, 4 ème éd., n. 771a, et les réf. citées; Pelet, op. cit., n. 202, p. 186). e) S'agissant des conditions de la protection par voie provisionnelle, la Cour civile s'est montrée hésitante. Ainsi, tantôt, l'art. 960 al. 1 ch. 1 CC permet l'annotation de restrictions prononcées selon les formes et les conditions de la procédure civile du canton (urgence et dommage difficile à réparer; JICCiv., M. c. V., 26 octobre 1992), tantôt, il suffit que l'instant rende sa prétention plausible, de sorte que seul le droit fédéral régit la question (JICCiv., Commune de V. c. R. et consorts, 8 décembre 1997), tantôt, la question est laissée ouverte (JICCiv, G. Sàrl et P. c. Commune de V., 23 avril 2007; JICCiv., S. c. U., 9 avril 1996; JT 1994 III 116 consid. 4; Poudret/Haldy/Tappy, Procédure civile vaudoise, 3 ème éd., n. 3 ad art. 101 CPC). Quelle que soit l'opinion suivie, il faut dans tous les cas que l'instant rende vraisemblables les faits justifiant sa requête et, partant, le droit dont il requiert la protection. Le juge doit quant à lui se limiter à un examen prima facie ou sommaire, sans préjuger le fond (Poudret/Haldy/Tappy, op. cit., n. 1 ad art. 101 CPC, p. 197; Pelet, op. cit., n. 62, pp. 48 s.). En matière de restriction au droit d'aliéner de l'art. 960 al. 1 ch. 1 CC, il suffirait de rendre vraisemblable la possibilité d'une issue favorable de l'action (ATF 100 Ia 18 consid. 4a, JT 1975 II 80), la doctrine préconisant à cet égard d'appliquer les critères valables pour les inscriptions provisoires de l'art. 961 CC (Deschenaux, op. cit., p. 287, note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L'annotation d'une restriction au droit d'aliéner ne déploie ses effets qu'à l'encontre des droits inscrits postérieurement (ATF 110 II 128, JT 1985 I 118; Steinauer, op. cit., n. 803). f ) En l'espèce, il convient d'examiner en premier lieu la vraisemblance de la prétention au fond du requérant. Le requérant veut obtenir l'exécution de l'acte de vente à terme - droit d'emption signé par les parties le 17 décembre 2008 et portant sur la parcelle [...] de la Commune de [...] ainsi que sur 1'060 m 2 de la parcelle [...] de la même commune, soit à terme le transfert de la propriété de ces parcelles en sa faveur. Cet acte de vente prévoit, à son art. 10, que la vente est ferme est définitive. Le requérant a versé le prix de vente en mains du notaire Charles-Edouard Henriod le 15 décembre 2008 déjà. Sous réserve du transfert des immeubles, la vente paraît parfaite au stade d'un examen sommaire; cela n'est d'ailleurs pas contesté par l'intimée. Le requérant a donc rendu suffisamment vraisemblable son droit à obtenir le transfert des immeubles concernés. g) Par ailleurs, la protection des droits du requérant n'était assurée que par le biais du droit d'emption prévu dans l'acte du 17 décembre 2008. Celui-ci étant échu, le requérant ne disposerait d'aucun moyen d'action à l'encontre d'un tiers auquel les immeubles seraient cédés, en violation du contrat liant les parties (ATF 110 II 128, JT 1985 I 118), et ne pourrait, en définitive, obtenir l'exécution de ce dernier. h) Enfin, le droit d'emption précité étant échu le 14 janvier 2009, le critère d'urgence de l'art. 101 al. 1 ch. 1 CPC est réalisé. Les conditions prévues par l'art. 101 al. 1 ch. 1 CPC étant remplies, c'est à juste titre que le requérant a procédé par la voie des mesures provisionnelles. II. a) L'intimée ne conteste pas que l'acte du 17 décembre 2008 soit valide mais soutient qu'elle ne peut y donner suite en raison de la restriction au droit d'aliéner annotée provisoirement en faveur et sur requête de son mari [...]. Elle soutient par ailleurs que les prétentions de ce dernier et du requérant sur le bien-fonds sont contradictoires et qu'en conséquence un risque de jugement contradictoire existe. Enfin, elle affirme que les conditions de l'inscription de l'annotation ne sont pas remplies. b) Comme évoqué précédemment, les conditions posées par l'art. 101 al. 1 ch. 1 CPC sont remplies en l'espèce. Concernant la pertinence d'une annotation d'une restriction au droit d'aliéner, il convient dès lors d'examiner si ce moyen permettrait de préserver de manière adéquate les droits du requérant à obtenir le transfert de la propriété des parcelles objets de l'acte de vente à terme du 17 décembre 2008. Le requérant n'est pas partie à la procédure matrimoniale qui divise l'intimée d'avec son mari. Il ne peut donc avoir accès aux éventuelles discussions entre ceux-ci concernant le sort réservé aux parcelles [...] et [...] de [...], en particulier sur le maintien de la restriction au droit d'aliéner ordonnée par le Président du Tribunal d'arrondissement de l'Est vaudois en faveur de l'époux de l'intimée. Or, cette annotation le prive de la possibilité de faire exécuter le contrat du 17 décembre 2008 et donc d'obtenir la contrepartie du prix des parcelles, qu'il a payé en totalité par versement sur le compte de consignation du notaire Charles-Edouard Henriod. Dès lors, il ne dispose d'aucune garantie qu'il pourrait agir à temps pour préserver ses droits en cas de vente des parcelles en cause à un tiers. Au demeurant, il est établi que l'intimée a obtenu l'autorisation, par convention passée devant le Président du tribunal d'arrondissement de la Côte le</w:t>
      </w:r>
    </w:p>
    <w:p>
      <w:r>
        <w:rPr>
          <w:b/>
        </w:rPr>
        <w:t>E. 14</w:t>
      </w:r>
    </w:p>
    <w:p>
      <w:r>
        <w:t>janvier 2010 pour faire valoir son droit en justice. VI. Dit que l'ordonnance est immédiatement exécutoire, nonobstant recours ou appel. Le juge instructeur : Le greffier : J. Krieger S. Segura Du L'ordonnance qui précède, dont le dispositif a été expédié pour notification aux parties le 6 novembre 2009 , lue et approuvée à huis clos, est notifiée, par l'envoi de photocopies, aux conseils des parties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