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15 vom 9. November 2009</w:t>
      </w:r>
    </w:p>
    <w:p>
      <w:r>
        <w:t>VD Tribunal cantonal, 2009-11-09, FR</w:t>
      </w:r>
    </w:p>
    <w:p>
      <w:r>
        <w:rPr>
          <w:b/>
        </w:rPr>
        <w:t xml:space="preserve">Quelle: </w:t>
      </w:r>
      <w:r>
        <w:t>https://mcp.opencaselaw.ch/entscheid/vd_findinfo_MP___2009___15</w:t>
      </w:r>
    </w:p>
    <w:p>
      <w:r>
        <w:t>FR: VD_FINDINFO MP / 2009 / 15 du 9 novembre 2009</w:t>
      </w:r>
    </w:p>
    <w:p>
      <w:r>
        <w:t>IT: VD_FINDINFO MP / 2009 / 15 del 9 novembre 2009</w:t>
      </w:r>
    </w:p>
    <w:p>
      <w:pPr>
        <w:pStyle w:val="Heading2"/>
      </w:pPr>
      <w:r>
        <w:t>Regeste</w:t>
      </w:r>
    </w:p>
    <w:p>
      <w:r>
        <w:t>MESURE PROVISIONNELLE, PROHIBITION DE CONCURRENCE | 340 CO, 340b CO, 340c CO, 101 CPC</w:t>
      </w:r>
    </w:p>
    <w:p>
      <w:pPr>
        <w:pStyle w:val="Heading2"/>
      </w:pPr>
      <w:r>
        <w:t>Erwägungen</w:t>
      </w:r>
    </w:p>
    <w:p>
      <w:r>
        <w:rPr>
          <w:b/>
        </w:rPr>
        <w:t>E. 3</w:t>
      </w:r>
    </w:p>
    <w:p>
      <w:r>
        <w:t>ème éd., Lausanne 2002, n. 1 ad art. 101 CPC et les réf. citées; Pelet, Réglementation fédérale des mesures provisionnelles et procédure civile cantonale contentieuse, thèse Lausanne, 1986, nn. 57 ss et n. 61 ). S'agissant des faits, le requérant n'a pas à établir, au sens d'une preuve complète, les allégations sur lesquelles il fonde sa requête. Il suffit qu'il les rende vraisemblables (ATF 108 II 69 c. 2a, JT 1982 I 528 ; Pelet, op. cit., nn. 57 et 60). Il ne doit pas convaincre le juge de leur exactitude mais lui donner l'impression, par des indices objectifs, que les faits en cause ont une certaine probabilité, sans qu'une réalité différente soit totalement exclue (ATF 104 Ia 408 c. 4; ATF 88 I 11 c. 5a, JT 1962 I 590; Pelet, op. cit., n. 57).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et 66). Le juge doit procéder à la mise en balance des intérêts contradictoires, c'est-à-dire à l'appréciation des désavantages respectifs pour le requérant et pour l'intimé, selon que la mesure requise est ordonnée ou refusée (ATF 131 III 473 c. 2.3, JT 2005 I 305; Hohl, Procédure civile, tome II, Berne 2002, n. 2820; Favre/Munoz/Tobler, Le contrat de travail, code annoté, Lausanne 2001, n. 3.2 ad art. 340b CO). b)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(Code des obligations; RS 220), lorsqu'il est presque certain que le délai maximal de prohibition de trois ans (cf. art. 340a al. 1CO) sera expiré à l'issue de la procédure au fond, dont le jugement deviendra sans objet ou lorsque le requérant, dès qu'il a obtenu l'exécution anticipée, n'a plus d'intérêt à valider la mesure en introduisant une action au fond (ATF 131 III 473 précité c. 2.3, JT 2005 I 305; Hohl, La réalisation du droit et les procédures rapides, thèse Fribourg, 1994, n. 679, [cité ci-après : Hohl, Réalisation]; Hohl, Procédure civile, nn. 2868 ss). Ainsi, en matière de mesures d'exécution anticipée, le juge ne peut se contenter de vraisemblance quant aux faits mais doit soumettre leur établissement à des conditions strictes, après une administration des preuves complètes. En outre, il doit procéder à un examen approfondi du fondement de la cause (Hohl, Procédure civile, nn. 2868 s.). La prohibition de faire concurrence constituant une restriction importante à la liberté personnelle et une entrave certaine au développement professionnel du travailleur, le degré de vraisemblance des faits et d'apparence du droit devra être élevé (JICCiv, 11 mai 2009, n° 71/2009/JCL; Favre/Munoz/Tobler, op. cit., n. 3.3 ad art. 340b). La protection juridique provisoire ne doit donc être accordée que lorsque la demande apparaît fondée de manière relativement claire, au vu de l'état de fait rendu vraisemblable (ATF 131 III 473 précité c. 3.2, JT 2005 I 305; JICCiv, 15 août 2002, n° 174/2002/JCL; Hohl, Réalisation, n. 683). c)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 ATF 131 III 473 précité c. 3.2 et les réf. citées ). II. Les requérantes fondent leur requête sur la clause de non concurrence contenue dans le contrat de travail les ayant lié à l'intimé. Dès lors qu'elles doivent rendre vraisemblable une prétention au fond, en l'occurrence le droit à la cessation de la contravention à la clause de prohibition de faire concurrence, il convient de rappeler ici les conditions auxquelles celle-ci peut être admise. a) Sous l'angle formel,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Les "entreprises concurrentes" sont celles qui offrent des prestations de même nature à une clientèle totalement ou partiellement identique et qui, par conséquent, satisfont directement le même besoin (Tercier/Favre, Les contrats spéciaux, 4 e éd., n. 3846 et la réf. citée). L'employeur qui entend pouvoir exiger la cessation de la contravention doit expressément s'en réserver le droit par écrit (art. 340b al. 3 CO). b) Matériellement,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 ATF 91 II 372 c. 5, JT 1966 I 322; Tercier/Favre, op. cit., n. 3842 et les arrêts cités; Wyler, Droit du travail, 2 ème éd., pp. 598 s. ).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concurrence est valide si la position et les activités du travailleur lui permettent d'entretenir des relations personnelles avec les clients, de découvrir leurs particularités, leurs besoins, la possibilité de leur faire crédit et la marche de leurs affaires (ATF 91 II 372 précité c. 6, JT 1966 I 322). Par "secret d'affaires", il faut entendre, d'une part, les méthodes et politiques commerciales, ainsi que les techniques d'organisation et de marketing de l'entreprise et, d'autre part, les créneaux commerciaux. L'employeur doit établir la réalité du secret et son intérêt à ce qu'il ne soit pas connu. La notion doit être interprétée restrictivement, eu égard aux intérêts économiques et professionnels du travailleur (Tercier/Favre, op. cit., nn. 3844 et 3845).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n. 26 ad art. 340 CO). L'art. 340 al. 2 CO n'exige pas la preuve d'un dommage effectif (Wyler, op. cit., p. 600); il suffit qu'il soit possible selon le cours ordinaire des choses et l'expérience générale de la vie. Le juge se contentera donc d'examiner et d'apprécier la probabilité de survenance d'un pareil dommage. Le moment déterminant pour en juger est celui où l'interdiction doit produire ses effets et non celui de la conclusion du contrat de travail (Tercier/Favre, op. cit., n. 3847). c)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déroge au principe posé par l'art. 20 CO, en ce sens que la clause n'est pas entièrement nulle; elle reste valable dans la mesure où elle n'excède pas la limite admissible. Plus la clause est limitée dans son contenu - objet et étendue géographique et temporelle - mieux elle sera protégée (Wyler, op. cit., pp. 610 s. et les réf. citées; Favre/Munoz/Tobler, op. cit., n. 1.1. ad art. 340a CO). d) L'art. 340b al. 3 CO pose encore une condition objective, en exigeant que la cessation de la contravention de la prohibition de faire concurrence soit justifiée par l'importance des intérêts lésés ou menacés de l'employeur. La cessation effective de l'activité concurrente du travailleur est susceptible de léser gravement ses intérêts personnels, en particulier son avenir économique, voire ses besoins vitaux. C'est la raison pour laquelle le législateur a conçu l'action en cessation de ce comportement comme un moyen de droit exceptionnel (JICCiv, 23 juin 2000, n° 270/2000/PMU; SJ 1982 330, spéc. note de Schmidt p. 334). Le caractère exceptionnel de la cessation effective de l'activité concurrente est souligné par la doctrine, qui parle de principe de la subsidiarité, en retenant que tant que l'employeur peut couvrir son dommage par la peine conventionnelle stipulée ou les dommages-intérêts, le juge ne fera pas exécuter la clause de prohibition de concurrence (Brunner/Bühler/Waeber, Commentaire du contrat de travail, 2 e éd., n. 4 ad art. 340b CO; Tercier, op. cit., n. 3856). Le dommage causé par le travailleur - sans qu'il soit besoin qu'il mette en péril la survie ou l'existence même de l'entreprise (ATF 103 II 120 c. 4, JT 1978 I 77; JT 1982 I 170 c. 3b) - doit être suffisamment grave pour que seul le rétablissement du statu quo ante soit de nature à satisfaire les intérêts légitimes de l'employeur (Duc/Subilia, op. cit., n. 12 ad art. 340b CO; Favre/Munoz/Tobler, op. cit. n. 3.2 ad art. 340b CO). Ceux-ci sont fonction au premier chef de l'ampleur du dommage découlant de l'activité contraire au contrat ainsi que des conséquences qui affecteront l'entreprise de l'employeur. Dans le doute, la pesée des intérêts profitera au travailleur, ce dernier pouvant être exposé à subir un dommage irréparable qui réside principalement dans l'absence de revenus et les dommages collatéraux qui exposent le travailleur à ne plus pouvoir faire face à ses échéances financières régulières. La pratique est donc très retenue, l'exécution devant être l' ultima ratio (ATF 131 III 473 précité c. 2.3, JT 2005 I 305; Wyler, op. cit., p. 613; Duc/Subilia, op. cit., n. 13 ad art. 340b CO). En définitive, la cessation de l'acte de concurrence peut être exigée lorsqu'il est manifestement injuste de contraindre l'employeur à se satisfaire de la possibilité de demander des dommages-intérêts (Tercier/Favre, op. cit., n. 3856; ATF 131 III 473 précité, JT 2005 I 305, SJ 2005 517). e) Concurremment à l'intérêt particulièrement important de l'action en exécution pour l'employeur et afin qu'il soit possible de donner suite au droit à l'action en exécution, il faut également se trouver en présence d'une violation crasse de la prohibition de concurrence, laquelle se confond généralement de manière évidente avec un acte de concurrence déloyale (ATF 131 III 473 précité c. 3.2, JT 2005 I 305; Wyler, op. cit., p. 613); c'est la condition subjective que la loi définit en substance par les termes " mesure (…) justifiée (…) par le comportement du travailleur " (art. 340b al. 3 in fine CO). Ainsi, le seul fait que l'employé concurrence l'employeur en violation de la clause d'interdiction de concurrence ne suffit pas. Bien au contraire, il faut pouvoir reconnaître dans ses actes un comportement qui viole de manière particulièrement grave le principe de la bonne foi. f) Selon l'art. 340c al. 2 CO, la prohibition cesse également si l'employeur résilie le contrat sans que le travailleur lui ait donné un motif justifié ou si le travailleur résilie le contrat pour un motif justifié imputable à l'employeur. Ne sont des motifs justifiés au sens de l'art. 340c al. 2 CO que les événements qui ont été causés par la partie adverse, ou à tout le moins dont elle doit répondre. Est considéré comme un motif justifié au sens de l'art. 340c al. 2 CO tout événement imputable à l'autre partie qui, selon des considérations commerciales raisonnables, peut donner une raison suffisante pour un licenciement. Il n'est pas nécessaire qu'il s'agisse d'une violation contractuelle en tant que telle (ATF 130 III 353 c. 2.2, JT 2005 I 13). Il n'est pas nécessaire non plus qu'il y ait une rupture du lien de confiance entre les parties (Favre/Munoz/Tobler, op. cit., n. 2.1 ad art. 340c CO). III. a) La présente procédure tend à faire cesser son activité professionnelle actuelle à l'intimé. Il s'agit donc de l'exécution anticipée de l'arrêt de la contravention à la prohibition de concurrence, ce qui implique que le degré de vraisemblance des faits et d'apparence du droit devra être élevé, en raison du préjudice encouru par l'intimé. Cela est d'autant plus vrai que les rapports de travail se sont terminés le 7 avril 2009 et que la clause a été conclue pour une durée maximale de deux ans, soit jusqu'au 7 avril 2011. Or, le procès au fond, qui n'a pas encore été introduit par les requérantes, a peu de chances d'aboutir avant l'échéance de ce délai (cf. ATF 131 III 473 précité, JT 2005 I 305). b) Selon l'art. 101 al. 1 ch. 1 CPC, les mesures provisionnelles peuvent être ordonnées en cas d'urgence, notamment pour écarter la menace d'un dommage difficile à réparer (let. c). L'intimé a donné sa démission à la fin du mois de mars 2009 et les rapports de travail ont effectivement cessé le 7 avril suivant. Il a créé sa propre société selon acte constitutif du 30 avril 2009, qui a été inscrite le 7 mai 2009 au Registre du commerce. La requérante a été informée de l'activité de l'intimé au plus tard à la fin du mois de mai 2009, puisqu'à ce moment-là elle a reçu une lettre de ce dernier, sur papier à en-tête de sa société, avec des demandes de prix et de délais de livraison pour divers composants. Au même moment, la Commune de [...] a résilié le contrat de maintenance qui la liait au groupe A.________. A la fin du mois de juillet 2009, les requérantes ont sollicité le paiement des peines conventionnelles. Les contrats de maintenance dont il est fait état plus haut ont été résiliés pour la plupart entre début août 2009 et début octobre 2009. Les requérantes ont déposé leur requête de mesures préprovisionnelles et provisionnelles le 15 octobre 2009. Les requérantes ont attendu environ cinq mois entre le moment où elles ont appris l'activité de l'intimé et où la première résiliation de contrat leur est parvenue et le moment où elles ont déposé une requête de mesures provisionnelles. S'il est vrai que les requérantes devaient attendre de voir si elles subissaient un dommage du fait de l'activité de l'intimé avant d'agir par la voie judiciaire, elles ne devaient pas attendre que leur dommage soit conséquent avant d'agir, puisque les mesures provisionnelles sont précisément conçues pour éviter la réalisation d'un tel risque. Cela dit, la sanction d'un éventuel retard dans la réaction judiciaire d'un requérant n'est pas la non recevabilité de sa requête, mais une appréciation plus sévère de son intérêt à demander la protection de son droit par la voie provisionnelle (cf. Poudret/Haldy/Tappy, op. cit., n. 2 ad art. 101 CPC). En l'espèce, le dépôt de la requête n'a pas été rapide, mais on ne peut pas retenir que les requérantes ont perdu leur droit à obtenir une protection provisionnelle pour la raison qu'elles auraient trop tardé à agir. Cette question n'est toutefois que de peu d'importance, la requête devant être rejetée pour les motifs exposés plus loin. c) L'intimé a été lié par un contrat de travail avec l'une et l'autre des requérantes. Ces deux contrats contenaient une clause de prohibition de faire concurrence. Ces clauses, conclues par écrit, sont donc valables quant à la forme. De plus, les requérantes se sont toutes deux réservé le droit par écrit de faire cesser la contravention, au sens de l'art. 340b al. 3 CO. Elles sont donc légitimées à demander le respect de ce droit au moyen de la présente procédure. d) Il reste maintenant à examiner si les conditions de l'art. 340 al. 2 CO sont remplies prima facie , c'est-à-dire au stade de la vraisemblance (cf. supra IIb). Les clients des requérantes sont principalement des régies immobilières, dont il est facile de trouver les coordonnées dans un annuaire téléphonique ou par internet. Il ressort toutefois de l'instruction que l'intimé, de par sa position au sein des requérantes, était au courant non seulement de la composition de la clientèle, mais également des besoins des clients et qu'il savait où il pouvait espérer des commande (cf. ATF 91 II 372 précité). De par ses fonctions, il a été amené à participer à la rédaction de contrats-cadres et il connaissait les prix pratiqués par les requérantes. De par ses contacts avec la clientèle, il savait donc qui était équipé de quelle installation, ce qui suffit, au sens de la jurisprudence précitée, à admettre qu'il avait connaissance de la clientèle des requérantes. Il faut ensuite déterminer si l'utilisation de ces renseignements est de nature à causer à l'employeur un préjudice sensible (art. 340b al. 2 CO). Il doit donc s'agir d'un préjudice important au regard du chiffre d'affaires de l'employeur, préjudice qui doit être possible selon le cours ordinaire des choses et l'expérience générale de la vie et n'a pas à être réalisé, du moins à ce stade de la procédure. Il s'agit donc d'examiner la probabilité de survenance d'un tel dommage (cf. Duc/Subilia, op. cit., n. 26 ad art. 340 CO; Wyler, op. cit., p. 600; Tercier, op. cit., n. 3847). Il ressort de l'instruction que le groupe A.________ occupe en Suisse une position extrêmement avantageuse dans le marché des ascenseurs, pour ne pas dire dominante. En effet, sur 150'000 installations existantes, le groupe en possède 70'000 à 80'000, soit plus de la moitié. Rien que dans le canton de Vaud, les requérantes s'occupent de 9'000 installations, dont 3'500 à 4'000 pour E.________ SA et le reste pour A.________ SA. L'intimé quant à lui a déclaré que sa société n'avait pour l'instant que 70 contrats, dont 34 repris des requérantes. Pour que son entreprise soit rentable, il lui faudrait environ 140 contrats au total. Les requérantes ont passé sous silence le montant de leur chiffre d'affaires. Rien que pour cela, il est donc extrêmement difficile de déterminer si elles pourraient subir un dommage sensible. Il n'a pas non plus été allégué le montant que représente un contrat d'entretien. Seul un témoin a estimé que le montant du dommage subi à ce jour par le groupe était d'environ 60'000 francs. Rien ne vient toutefois étayer ni infirmer cette déclaration. En l'absence de tous renseignements financiers et de documents des requérantes, le seul critère reste le nombre de contrats qui ont été indiqués lors de l'audience de ce jour. Au vu de ces chiffres, la réalisation d'un dommage sensible pour les requérantes semble peu réaliste. Les leaders du marché suisse s'attaquent en effet à une personne travaillant seule au sein d'une société anonyme nouvellement créée. D'un côté, le groupe A.________ s'occupe de 70'000 à 80'000 installations dans toute la Suisse et, de l'autre côté, l'intimé a décroché 70 contrats et en espère 70 de plus. Au plus, la prohibition de concurrence à laquelle est soumise l'intimé ne pourrait pas excéder une période de deux ans, conformément aux contrats signés. Il est très peu probable que la société de l'intimé prenne dans ce laps de temps une ampleur telle qu'elle soit capable de causer un préjudice grave aux requérantes. La répartition des forces est inégale et il n'est pas rendu vraisemblable que cela puisse changer d'ici au 7 avril 2011. Même en ne prenant en compte que le canton de Vaud, les chiffres sont déséquilibrés, puisque le groupe A.________ s'occupe de 9'000 installations, contre les 140 espérées par l'intimé. La survenance d'un préjudice sensible pour les requérantes d'ici au 7 avril 2011 n'est ainsi pas réaliste. De plus, au vu de la gravité des conséquences d'une cessation de l'activité de l'intimé, cette mesure a un caractère exceptionnel. La doctrine parle même de principe de subsidiarité (cf. supra II/d), en retenant que tant que l'employeur peut couvrir son dommage par la peine conventionnelle stipulée ou les dommages-intérêts, le juge ne fera pas exécuter la clause de prohibition de concurrence (cf. Brunner/Bühler/Waeber, op. cit., n. 4 ad art. 340b CO; Tercier/Favre, op. cit., n. 3856). En l'espèce, selon les chiffres avancés par l'un des employés de la requérante E.________ SA, chiffres qu'il lui appartiendrait d'étayer de manière effective, le dommage du groupe est d'environ 60'000 fr., alors que les peines conventionnelles réclamées à ce jour totalisent 124'361 fr. (88'611 + 35'750). Le montant du dommage serait donc largement couvert par les peines conventionnelles et il n'est pas rendu crédible que la société de l'intimé pourrait prendre un essor considérable d'ici au 7 avril 2011. En définitive, la pesée des intérêts en présence conduit au rejet de la requête de mesures provisionnelles. En effet, les requérantes ne rendent pas vraisemblable qu'elles pourraient subir un dommage sensible au regard de leur chiffre d'affaires, condition pour que la clause de prohibition de concurrence puisse être appliquée. Bien au contraire, les chiffres avancés lors de l'audience de ce jour rendent cette hypothèse peu plausible. D'un autre côté, l'intimé travaille depuis plus de seize ans dans le domaine des ascenseurs et il paraît difficile d'exercer son métier dans ce secteur sans faire concurrence aux requérantes d'une manière ou d'une autre. Le métier de consultant n'est pas répandu et il n'est de loin pas certain que l'intimé pourrait en vivre. Quant à une reconversion professionnelle, elle serait difficile, voire impossible, après tant d'années d'activité dans un même secteur. Ainsi, le priver de son activité professionnelle lui causerait un préjudice extrêmement important. Sur le fond, et comme on l'a expliqué, des sanctions alternatives existent (cf. Tercier/Favre, op. cit., n. 3856 et ATF 131 III 472 précité). Au vu de ce rejet, il n'est nul besoin d'examiner les autres arguments de l'intimé. Il convient toutefois de relever que l'intimé ne rend pas suffisamment vraisemblable qu'il avait un motif justifié imputable à son employeur pour donner sa démission, qui rendrait la clause de prohibition de concurrence sans effet. Si la politique des prix pratiquée par les requérantes est discutable d'un point de vue éthique, voire cartellaire (art. 4 al. 2 et 7 de la loi sur les cartels, RS 251), elle était la même lorsqu'il travaillait pour le compte d'E.________ SA et n'a pas changé juste avant qu'il prenne son nouvel emploi au sein d'A.________ SA. Il semble ainsi difficile d'admettre que cette situation soit devenue insupportable à l'intimé juste après son changement d'employeur et qu'il s'en soit accommodé jusque-là. De plus, il ressort du mail du 17 mars 2009 écrit par Q.________ à deux de ses collègues et faisant le point sur la situation de l'intimé que celui-ci avait d'autres motifs de donner sa démission. Au vu de ce qui précède, la requête de mesures provisionnelles des requérantes doit être rejetée. IV. Les frais de la procédure provisionnelle sont arrêtés à 3'225 fr. pour les requérantes, solidairement entre elles (art. 4 al. 1, 5 al. 1, 170 et 170a du tarif du 4 décembre 1984 des frais judiciaires en matière civile ; RSV 270.11.5) et à 160 fr. pour l'intimé. L'intimé obtient entièrement gain de cause. Agissant par l'intermédiaire d'un mandataire professionnel, il a droit à une participation à ses frais à hauteur de 2'000 fr. et au remboursement de ses frais de justice au titre de dépens de la procédure provisionnelle. Par ces motifs, le juge instructeur, statuant à huis clos et par voie de mesures provisionnelles : I. Rejette la requête de mesures provisionnelles déposée le 15 octobre 2009 par les requérantes E.________ SA et A.________ SA contre l'intimé C.________. II. Arrête les frais de la procédure provisionnelle à 3'225 fr. (trois mille deux cent vingt-cinq francs) pour les requérantes, solidairement entre elles, et à 160 fr. (cent soixante francs) pour l'intimé. III. Condamne les requérantes, solidairement entre elles, à verser à l'intimé le montant de 2'160 fr. (deux mille cent soixante francs) à titre de dépens de la procédure provisionnelle. Le juge instructeur : La greffière : J. Krieger C. Merminod Du L'ordonnance qui précède, dont le dispositif a été expédié pour notification aux parties le 17 novembre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