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46 vom 5. Mai 2025</w:t>
      </w:r>
    </w:p>
    <w:p>
      <w:r>
        <w:t>VD Tribunal cantonal, 2025-05-05, FR</w:t>
      </w:r>
    </w:p>
    <w:p>
      <w:r>
        <w:rPr>
          <w:b/>
        </w:rPr>
        <w:t xml:space="preserve">Quelle: </w:t>
      </w:r>
      <w:r>
        <w:t>https://mcp.opencaselaw.ch/entscheid/vd_findinfo_ML___2025___46</w:t>
      </w:r>
    </w:p>
    <w:p>
      <w:r>
        <w:t>FR: VD_FINDINFO ML / 2025 / 46 du 5 mai 2025</w:t>
      </w:r>
    </w:p>
    <w:p>
      <w:r>
        <w:t>IT: VD_FINDINFO ML / 2025 / 46 del 5 maggio 2025</w:t>
      </w:r>
    </w:p>
    <w:p>
      <w:pPr>
        <w:pStyle w:val="Heading2"/>
      </w:pPr>
      <w:r>
        <w:t>Regeste</w:t>
      </w:r>
    </w:p>
    <w:p>
      <w:r>
        <w:t>ÉTAT DE COLLOCATION, CRÉANCE, RECONNAISSANCE DE DETTE, ACTE DE DÉFAUT DE BIENS, TITRE DE MAINLEVÉE | 245 LP, 265 al. 1 LP, 80 LP, 82 LP, 63 OAOF</w:t>
      </w:r>
    </w:p>
    <w:p>
      <w:pPr>
        <w:pStyle w:val="Heading2"/>
      </w:pPr>
      <w:r>
        <w:t>Erwägungen</w:t>
      </w:r>
    </w:p>
    <w:p>
      <w:r>
        <w:rPr>
          <w:b/>
        </w:rPr>
        <w:t>E. 1</w:t>
      </w:r>
    </w:p>
    <w:p>
      <w:r>
        <w:t>LP, ce que le recourant ne soutient d’ailleurs pas. e) Dans ces conditions, les autres griefs du recourant concernant la détermination du montant dû ou les moyens de défense du débiteur sont sans objet. V. Vu ce qui précède, le recours, manifestement infondé dans la mesure où il est recevable, doit être rejeté selon le mode procédural de l’art. 322 CPC et le prononcé attaqué confirmé. Les frais judiciaires de deuxième instance, arrêtés à 540 fr., sont mis à la charge du recourant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