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76 vom 23. Mai 2024</w:t>
      </w:r>
    </w:p>
    <w:p>
      <w:r>
        <w:t>VD Tribunal cantonal, 2024-05-23, FR</w:t>
      </w:r>
    </w:p>
    <w:p>
      <w:r>
        <w:rPr>
          <w:b/>
        </w:rPr>
        <w:t xml:space="preserve">Quelle: </w:t>
      </w:r>
      <w:r>
        <w:t>https://mcp.opencaselaw.ch/entscheid/vd_findinfo_ML___2024___76</w:t>
      </w:r>
    </w:p>
    <w:p>
      <w:r>
        <w:t>FR: VD_FINDINFO ML / 2024 / 76 du 23 mai 2024</w:t>
      </w:r>
    </w:p>
    <w:p>
      <w:r>
        <w:t>IT: VD_FINDINFO ML / 2024 / 76 del 23 maggio 2024</w:t>
      </w:r>
    </w:p>
    <w:p>
      <w:pPr>
        <w:pStyle w:val="Heading2"/>
      </w:pPr>
      <w:r>
        <w:t>Regeste</w:t>
      </w:r>
    </w:p>
    <w:p>
      <w:r>
        <w:t>TITRE DE MAINLEVÉE, RECONNAISSANCE DE DETTE, MAINLEVÉE PROVISOIRE | 82 al. 1 LP, 82 LP</w:t>
      </w:r>
    </w:p>
    <w:p>
      <w:pPr>
        <w:pStyle w:val="Heading2"/>
      </w:pPr>
      <w:r>
        <w:t>Erwägungen</w:t>
      </w:r>
    </w:p>
    <w:p>
      <w:r>
        <w:rPr>
          <w:b/>
        </w:rPr>
        <w:t>E. 30</w:t>
      </w:r>
    </w:p>
    <w:p>
      <w:r>
        <w:t>ad art. 82 LP et références). Les extraits de compte bancaire ne valent pas davantage reconnaissance de dette au sens de l’art. 82 LP, car ils ne comportent pas la signature du débiteur. C’est donc à raison que l’autorité précédente a considéré qu’il n’y avait pas de titre à la mainlevée et le recours doit être rejeté. III. En conclusion, le recours doit être rejeté et le prononcé attaqué confirmé. Vu le rejet du recours, les frais judiciaires de deuxième instance, arrêtés à 225 fr., sont mis à la charge de la recourante (art. 106 al. 1 CPC). Il n’y a pas lieu d’allouer de dépens de deuxième instance, l’intimé ne s’étant pas déterminé dans le délai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