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74 vom 23. Mai 2024</w:t>
      </w:r>
    </w:p>
    <w:p>
      <w:r>
        <w:t>VD Tribunal cantonal, 2024-05-23, FR</w:t>
      </w:r>
    </w:p>
    <w:p>
      <w:r>
        <w:rPr>
          <w:b/>
        </w:rPr>
        <w:t xml:space="preserve">Quelle: </w:t>
      </w:r>
      <w:r>
        <w:t>https://mcp.opencaselaw.ch/entscheid/vd_findinfo_ML___2024___74</w:t>
      </w:r>
    </w:p>
    <w:p>
      <w:r>
        <w:t>FR: VD_FINDINFO ML / 2024 / 74 du 23 mai 2024</w:t>
      </w:r>
    </w:p>
    <w:p>
      <w:r>
        <w:t>IT: VD_FINDINFO ML / 2024 / 74 del 23 maggio 2024</w:t>
      </w:r>
    </w:p>
    <w:p>
      <w:pPr>
        <w:pStyle w:val="Heading2"/>
      </w:pPr>
      <w:r>
        <w:t>Regeste</w:t>
      </w:r>
    </w:p>
    <w:p>
      <w:r>
        <w:t>MAINLEVÉE DÉFINITIVE, CONSTATATION DES FAITS, POUVOIR D'EXAMEN, MOTIVATION DE LA DEMANDE, OBLIGATION D'ENTRETIEN, ENFANT, MAJORITÉ{ÂGE}, COMPENSATION DE CRÉANCES | 279 CC, 318 CC, 120 CO, 125 ch. 2 CO, 80 al. 1 LP, 80 LP, 81 al. 1 LP, 320 CPC (CH), 320 let. a CPC (CH), 320 let. b CPC (CH)</w:t>
      </w:r>
    </w:p>
    <w:p>
      <w:pPr>
        <w:pStyle w:val="Heading2"/>
      </w:pPr>
      <w:r>
        <w:t>Erwägungen</w:t>
      </w:r>
    </w:p>
    <w:p>
      <w:r>
        <w:rPr>
          <w:b/>
        </w:rPr>
        <w:t>E. 1</w:t>
      </w:r>
    </w:p>
    <w:p>
      <w:r>
        <w:t>CC, qui prévoit que, durant sa minorité, les contributions d’entretien sont versées en mains de son représentant légal ou au parent qui en détient la garde. L’art. 318 CC, qui reconnait au détenteur de l’autorité parentale le droit d’exercer en son propre nom, les droits de l’enfant dans des affaires pécuniaires (en particulier celles relatives aux contributions d’entretien) et de les faire valoir lui-même devant un tribunal ou par une poursuite (« Prozessstandschaft ») (ATF 142 III 78 consid. 3.2 et références, JdT 2020 II 241 ; ATF 136 III 365 consid. 2, JdT 2011 I 77), ce droit combiné avec l’art. 133 al. 3 CC, permettant au détenteur de l’autorité parentale de réclamer du juge du divorce qu’il fixe l’entretien de l’enfant après sa majorité (ATF 142 III 78 précité ; ATF 129 III 55 consid. 3). La jurisprudence a toutefois précisé que ce droit de faire valoir en son nom propre la créance de l’enfant prend fin, selon les dispositions légales susmentionnées, à la majorité de celui-ci, y compris pour les créances nées alors qu’il était encore mineur (ATF 142 III 78 précité consid. 3.3), et cela même si le jugement de divorce prévoit le versement en mains du parent des contributions pour l’enfant majeur (TF 5A_521/2018 du 12 aout 2019 consid. 3.3 ; TF 5A_661/2012 du 17 janvier 2013 consid. 5.2 ; Abbet, in Abbet/Veuillet (éd.), la mainlevée de l’opposition, 2 e éd., n. 80 ad art. 80 LP ; Staehelin, in Staehelin/Bauer/Lorandi, Basler Kommentar SchKG I,</w:t>
      </w:r>
    </w:p>
    <w:p>
      <w:r>
        <w:rPr>
          <w:b/>
        </w:rPr>
        <w:t>E. 3</w:t>
      </w:r>
    </w:p>
    <w:p>
      <w:r>
        <w:t>e éd., n. 36 ad art. 80 LP). b) En l’espèce, le recourant fait valoir que l’enfant D.X.________ a atteint la majorité le [...] 2024 ce qui est exact mais sans incidence dès lors que le prononcé de mainlevée a été rendu le 22 septembre 2023. Il expose par ailleurs que l’intéressé aurait, par déclaration écrite du 19 septembre 2023, refusé que sa mère continue d’agir en son nom à l’encontre du poursuivi ce qui ne ressort toutefois pas de l’état de fait du prononcé entrepris sans que le recourant, pourtant assisté d’un mandataire professionnel, ne se prévale d’une constatation arbitraire des faits sur ce point. Pour le reste, il est conforme à la jurisprudence de permettre au détenteur de l’autorité parentale de faire valoir les contributions d’entretien dues pour un enfant mineur dans le cadre d’une poursuite. Le moyen doit donc être rejeté. IV. a) Aux termes de l’art. 81 al. 1 LP, le juge ordonne la mainlevée définitive de l’opposition, à moins que l’opposant ne prouve par titre que la dette a été éteinte ou qu’il a obtenu un sursis, postérieurement au jugement, ou qu’il se prévale de la prescription. Par extinction de la dette, l’art. 81 al. 1 LP vise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quote-part non compensable des prestations d’entretien, évaluation qui dépasse en principe le pouvoir d’examen du juge de la mainlevée (ATF 115 III 97 précité consid. 4d, JdT 1991 II 47). b) En l’espèce le recourant invoque une constatation manifestement inexacte des faits. Il soutient que les pièces produites en première instance, et notamment l’arrêt de la Cour d’appel civile du Tribunal cantonal du 1 er juillet 2022, permettait d’établir que la poursuivante dispose d’un disponible très confortable et que la compensation était par conséquents admissible au regard de l’art. 125 ch. 2 CO. La question peut toutefois rester ouverte. Comme l’a retenu le premier juge, il résulte en effet du prononcé de mesures protectrices de l’union conjugale rendu le 9 juin 2021 que la jouissance du domicile conjugal a été attribuée l’intimée à charge pour elle d’en payer les charges. Selon le prononcé de mesures protectrices de l’union conjugale rendu le 7 février 2022, ces charges comprennent notamment le remboursement d’un emprunt contracté auprès du Banque N.________ à hauteur de 1'948 fr. 25 par mois. Il s’ensuit que la poursuivante était tenue de payer les montants dus à l’établissement bancaire mais pas au recourant. Celui-ci ne dispose dès lors pas d’un titre à la mainlevée définitive, ni même provisoire, pour la créance qu’il invoque compensation. Cette créance n’est par ailleurs pas admise sans réserve par la poursuivante. C’est donc à juste titre que le premier juge a écarté le moyen libératoire tiré de la compensation invoqué par le recourant. II. En conclusion, le recours doit être rejeté dans la mesure où il est recevable selon le mode procédural de l’art. 322 al. 1 CPC et le prononcé confirmé. Vu le rejet du recours, les frais judiciaires de deuxième instance, arrêtés à 720 fr., doivent être mis à la charge du recourant (art. 106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