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22 vom 14. Februar 2024</w:t>
      </w:r>
    </w:p>
    <w:p>
      <w:r>
        <w:t>VD Tribunal cantonal, 2024-02-14, FR</w:t>
      </w:r>
    </w:p>
    <w:p>
      <w:r>
        <w:rPr>
          <w:b/>
        </w:rPr>
        <w:t xml:space="preserve">Quelle: </w:t>
      </w:r>
      <w:r>
        <w:t>https://mcp.opencaselaw.ch/entscheid/vd_findinfo_ML___2024___22</w:t>
      </w:r>
    </w:p>
    <w:p>
      <w:r>
        <w:t>FR: VD_FINDINFO ML / 2024 / 22 du 14 février 2024</w:t>
      </w:r>
    </w:p>
    <w:p>
      <w:r>
        <w:t>IT: VD_FINDINFO ML / 2024 / 22 del 14 febbraio 2024</w:t>
      </w:r>
    </w:p>
    <w:p>
      <w:pPr>
        <w:pStyle w:val="Heading2"/>
      </w:pPr>
      <w:r>
        <w:t>Regeste</w:t>
      </w:r>
    </w:p>
    <w:p>
      <w:r>
        <w:t>MAINLEVÉE DÉFINITIVE, DÉCISION ÉTRANGÈRE, RECONNAISSANCE DE LA DÉCISION, CONSTATATION DU DROIT ÉTRANGER, FRANCE, FRAUDE À LA LOI, ABSENCE, PREUVE, REJET DE LA DEMANDE | 80 al. 1 LP, 81 al. 3 LP</w:t>
      </w:r>
    </w:p>
    <w:p>
      <w:pPr>
        <w:pStyle w:val="Heading2"/>
      </w:pPr>
      <w:r>
        <w:t>Erwägungen</w:t>
      </w:r>
    </w:p>
    <w:p>
      <w:r>
        <w:rPr>
          <w:b/>
        </w:rPr>
        <w:t>E. 1</w:t>
      </w:r>
    </w:p>
    <w:p>
      <w:r>
        <w:t>CPC [Code de procédure civile ; RS 272]) et en temps utile, dans le délai de dix jours suivant la notification de la décision motivée (art. 321 al. 2 CPC). Il est ainsi recevable. Les conclusions n os 2, 6 et 7, qui sortent de l’objet du litige et du champ de compétence de la Cour de céans, sont irrecevables. Il en va de même de la conclusion n° 5 tendant à l’allocation de dépens, en tant que cette prétention n’est pas chiffrée (CPF 31 octobre 2023/191 ; CPF 22 février 2021/17 ; CREC 2 juin 2014/190 ; CREC 11 juillet 2014/238). Dans la mesure où le recourant a déposé son recours sans l’assistance d’un mandataire professionnel, on peut admettre que la conclusion n° 3 sollicitant l’annulation du prononcé entrepris peut être lue en lien avec la conclusion n° 4 et ainsi comprise comme tendant à la réforme du prononcé dans le sens d’un rejet de la requête de mainlevée. II. a) L’art. 320 CPC dispose que le recours est recevable pour violation du droit (let. a) et constatation manifestement inexacte des faits (let. b). En ce qui concerne la violation du droit, la cognition de l’autorité de recours est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peut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141 III 569 consid. 2.3.3 ; TF 5A_873/2021 du 4 mars 2022 consid. 4.2). S’agissant en outre des faits, seule la constatation manifestement inexacte, c’est-à-dire arbitraire des faits et de l’appréciation des preuves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 ba) En l’espèce, la motivation du recours est prolixe et difficilement compréhensible. On peut néanmoins en tirer que le recourant s’oppose au prononcé entrepris et conteste devoir les sommes réclamées en poursuite, faisant en particulier valoir que l’ordonnance d’injonction de payer du 17 novembre 2020 du Tribunal de Proximité de Pontarlier ne lui aurait été pas été signifiée ou notifiée, ni à lui ni à son épouse, de sorte qu’il n’aurait pas pu faire valoir ses moyens de défense dans cette procédure. A cet égard, il soutient que la procédure judiciaire française menée à son encontre serait entachée de fraude, affirmant en particulier que les actes établis par l’Huissier de justice [...] seraient des faux et que celui-ci aurait commis un parjure, notamment en attestant de la signification de l’ordonnance d’injonction de payer litigieuse. Selon le recourant, l’ordonnance d’injonction de payer précitée serait ainsi « non avenue, caduque, nulle et invalide ». Il précise encore que son épouse et lui ont déposé plainte en France contre l’huissier de justice précité en se portant partie civile. Les allégations du recourant en lien avec l’absence de nom et de signature valable par un juge sur le titre exécutoire, qui n’ont pas été soulevées devant le premier juge, sont nouvelles et donc irrecevables au stade du recours (art. 326 al. 1 CPC). bb) Aux termes de l'art. 80 al. 1 LP (loi du 11 avril 1889 sur la poursuite pour dettes et la faillite ; RS 281.1), le créancier qui est au bénéfice d'un jugement exécutoire peut requérir du juge la mainlevée définitive de l'opposition. Cette norme englobe tant les jugements suisses que les jugements étrangers (ATF 146 III 157 consid. 3 ; 139 III 135 consid. 4.5.1). Toute décision étrangère portant condamnation à payer une somme d'argent ou à constituer des sûretés (art. 38 al. 1 LP) et exécutable en Suisse selon une convention internationale ou, à défaut, selon la LDIP (loi fédérale du 18 décembre 1987 sur le droit international privé ; RS 291), constitue un titre de mainlevée définitive (TF 5A_528/2022 du 6 février 2023, consid. 3.1 ; Abbet, in Abbet/Veuillet [éd.], La mainlevée de l'opposition, 2 e éd., 2022, n. 36 ad art. 81 LP et les références citées ; cf. aussi art. 335 al. 2 CPC et Jeandin, in Bohnet et alii [éd.], Commentaire romand, Code de procédure civile, 2 e éd. 2019, nn, 19 ss ad art. 335 CPC). La Convention du 30 octobre 2007 concernant la compétence judiciaire, la reconnaissance et l’exécution des décisions en matière civile et commerciale (dite Convention de Lugano [ci-après CL] ; RS 0.275.12), entrée en vigueur le 1 er janvier 2010 pour les pays de l’Union européenne d’alors et le 1 er janvier 2011 pour la Suisse, s’applique, quelle que soit la nature de la juridiction, en matière civile et commerciale (art. 1 al. 1, 1 ère phrase CL) à l’exception des questions relatives à l’état et la capacité des personnes physiques, aux régimes matrimoniaux, aux testaments et aux successions (art. 1 al.</w:t>
      </w:r>
    </w:p>
    <w:p>
      <w:r>
        <w:rPr>
          <w:b/>
        </w:rPr>
        <w:t>E. 2</w:t>
      </w:r>
    </w:p>
    <w:p>
      <w:r>
        <w:t>e phrase CL), les faillites, concordats et autres procédures analogues, la sécurité sociale, et l’arbitrage (art. 1 al. 2 let. b, c et d CL). Le créancier au bénéfice d'un jugement étranger portant condamnation à payer une somme d'argent rendu dans un État lié à la Suisse par la CL peut introduire une poursuite et, en cas d'opposition du débiteur, requérir la mainlevée de l'opposition, procédure au cours de laquelle le juge de la mainlevée se prononcera à titre incident sur le caractère exécutoire du jugement étranger (décision d’ exequatur prononcée à titre incident) ; s'il le déclare exécutoire, ce magistrat lèvera alors l'opposition au commandement de payer (ATF 143 III 404 consid. 5.2.1 et les références citées ; TF 5A_899/2020 du 15 novembre 2021, consid. 2.2.2 ; cf. aussi : Staehelin, in Staehelin/Bauer/Lorandi, Bundesgesetz über Schuldbetreibung und Konkurs, vol. I, art. 1-158 SChKG, [ci-après : Basler Kommentar SchKG I], 3 e éd. 2021, nn. 68 ss ad art. 80 LP et les nombreuses références citées). Lorsqu’il est invité à statuer sur l’ exequatur à titre incident, le juge de la mainlevée le fait dans les motifs de son jugement ; il n’a pas à se prononcer sur cette question dans le dispositif de celui-ci, même si le poursuivant a pris des conclusions formelles à ce sujet (ATF 143 III 404 consid. 5.2.1 et les références citées) et les effets de sa décision sont limités à la poursuite en cours (TF 5A_1015/2021 du 4 août 2022 consid. 6.1). La procédure est contradictoire et le débiteur peut se prévaloir de toutes les exceptions prévues par la CL (Abbet, op. cit. , n. 51 ad art. 81 LP ; Staehelin, Basler Kommentar SchKG I, op. cit. , nn. 68 ss ad art. 80 LP et les références citées). bc)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autre État, l'opposant peut en outre faire valoir les moyens prévus par une convention liant cet État ou, à défaut d'une telle convention, par la LDIP, à moins qu'un juge suisse n'ait déjà rendu une décision concernant ces moyens (art. 81 al. 3 LP). S’agissant de la Convention de Lugano, les motifs de refus de la reconnaissance et de l'exécution d'une décision étrangère sont exhaustivement énumérés aux art. 34 et 35 CL. Ils doivent être invoqués et prouvés par celui qui s'oppose à la reconnaissance, à défaut de quoi l’absence de motifs de refus est présumée (TF 5A_248/2015 du 6 avril 2016 consid. 3.1 non publié aux ATF 142 III 420 ; cf. aussi 5A_703/2016 du 6 juin 2017 consid. 5.2.3 ; Abbet, op. cit. , n. 56 ad art. 81 LP et les références citées). Il incombe au poursuivi d’établir le droit étranger applicable aux moyens libératoires qu’il invoque, l’art. 16 al. 1, 1 ère phrase LDIP ne s’appliquant pas en procédure de mainlevée (Abbet, op. cit. , n. 9 ad art. 81 LP ; ATF 145 III 213 consid. 6.1.3 en mainlevée provisoire ; 144 III 360 consid. 3.4.1, JdT 2020 II 173). c) En l’occurrence, l’entier de la motivation du recourant repose sur des allégations de fraude dans la procédure française et de faux dans l’établissement des actes par l’huissier de justice français, en particulier de ceux attestant de la signification (notification) de l’ordonnance d’injonction de payer du 17 novembre 2020 à son épouse et à lui-même ; ces allégations ne sont pas établies ni même rendues vraisemblables par le recourant. On soulignera à cet égard que le simple dépôt d’une plainte pénale à l’encontre de l’huissier de justice concerné n’est pas une justification suffisante en l’absence de condamnation. En outre, le recourant ne critique pas le prononcé litigieux autrement que par l’allégation de faits ; en particulier il n’invoque aucun argument quant aux conditions d’application de la CL dans le cas d’espèce. De même, il n’émet aucune critique motivée à l’encontre de l’application du droit français par l’autorité précédente, notamment s’agissant de la notification de l’ordonnance d’injonction de payer ; il se borne ainsi à reproduire dans son recours la teneur des art. 655 et 656 CPC FR – ayant trait à la signification des actes – sans en tirer de moyen direct. Partant, faute pour le recourant de rendre vraisemblable ses accusations de faux et de fraude, et de formuler des griefs motivés s’agissant du contenu du droit étranger, en l’occurrence du droit français, tel que retenu et appliqué par le premier juge, le moyen apparaît manifestement infondé. III. Compte tenu de ce qui précède, le recours, manifestement infondé, doit être rejeté selon le mode procédural de l’art. 322 al. 1 in fine CPC, dans la mesure de sa recevabilité, et le prononcé attaqué confirmé. Vu l’issue du recours, les frais judiciaires de deuxième instance, arrêtés à 270 fr. (art. 61 OELP [ordonnance sur les émoluments perçus en application de la loi fédérale sur la poursuite pour dettes et la faillite ; RS 281.35]), sont mis à la charge du recourant, qui succombe et qui en a déjà fait l’avance (art. 106 al. 1 et 111 al. 1 CPC).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