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39 vom 2. Mai 2023</w:t>
      </w:r>
    </w:p>
    <w:p>
      <w:r>
        <w:t>VD Tribunal cantonal, 2023-05-02, FR</w:t>
      </w:r>
    </w:p>
    <w:p>
      <w:r>
        <w:rPr>
          <w:b/>
        </w:rPr>
        <w:t xml:space="preserve">Quelle: </w:t>
      </w:r>
      <w:r>
        <w:t>https://mcp.opencaselaw.ch/entscheid/vd_findinfo_ML___2023___39</w:t>
      </w:r>
    </w:p>
    <w:p>
      <w:r>
        <w:t>FR: VD_FINDINFO ML / 2023 / 39 du 2 mai 2023</w:t>
      </w:r>
    </w:p>
    <w:p>
      <w:r>
        <w:t>IT: VD_FINDINFO ML / 2023 / 39 del 2 maggio 2023</w:t>
      </w:r>
    </w:p>
    <w:p>
      <w:pPr>
        <w:pStyle w:val="Heading2"/>
      </w:pPr>
      <w:r>
        <w:t>Regeste</w:t>
      </w:r>
    </w:p>
    <w:p>
      <w:r>
        <w:t>MAINLEVÉE PROVISOIRE, NOVATION, DÉCISION SUR FRAIS, FRAIS JUDICIAIRES, EXIGIBILITÉ | 116 CO, 82 LP, 106 al. 2 CPC (CH)</w:t>
      </w:r>
    </w:p>
    <w:p>
      <w:pPr>
        <w:pStyle w:val="Heading2"/>
      </w:pPr>
      <w:r>
        <w:t>Erwägungen</w:t>
      </w:r>
    </w:p>
    <w:p>
      <w:r>
        <w:rPr>
          <w:b/>
        </w:rPr>
        <w:t>E. 1</w:t>
      </w:r>
    </w:p>
    <w:p>
      <w:r>
        <w:t>Le recours a été déposé par acte écrit et en temps utile, soit dans le délai de dix jours suivant la notification des motifs du prononcé attaqué (art. 321 al. 2 CPC [Code de procédure civile; RS 272]). Motivé conformément à l’art. 321 al. 1 CPC, 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Le pouvoir d’examen de la Cour des poursuites et faillites est donc limité à l’arbitraire s’agissant des faits retenus par l’autorité précédente (TF 4D_30/2017 du 5 décembre 2017 consid. 2.2 et réf. cit.).</w:t>
      </w:r>
    </w:p>
    <w:p>
      <w:r>
        <w:rPr>
          <w:b/>
        </w:rPr>
        <w:t>E. 3.1.1</w:t>
      </w:r>
    </w:p>
    <w:p>
      <w:r>
        <w:t>En vertu de l'art. 82 al. 1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réf. cit.).</w:t>
      </w:r>
    </w:p>
    <w:p>
      <w:r>
        <w:rPr>
          <w:b/>
        </w:rPr>
        <w:t>E. 3.1.2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w:t>
      </w:r>
    </w:p>
    <w:p>
      <w:r>
        <w:rPr>
          <w:b/>
        </w:rPr>
        <w:t>E. 3.1.3</w:t>
      </w:r>
    </w:p>
    <w:p>
      <w:r>
        <w:t>Selon l'art. 116 CO, la novation ne se présume pas mais suppose la volonté de créer une nouvelle dette en lieu et place de la précédente (ATF 126 III 375 consid. 2e/bb). De simples transformations du contenu de l'obligation primitive, qui n'affectent pas sa nature, mais en modifient le montant, l'échéance, voire le taux d'intérêt, n'emportent pas d'effet novatoire (ATF 131 III 586 consid. 4.2.3.3 ; TF 4A_466/2015 du 16 juin 2016 consid. 2.2). L'octroi d'un délai de paiement n'emporte pas novation (ATF 84 II 645 consid. 3a).</w:t>
      </w:r>
    </w:p>
    <w:p>
      <w:r>
        <w:rPr>
          <w:b/>
        </w:rPr>
        <w:t>E. 3.2.1</w:t>
      </w:r>
    </w:p>
    <w:p>
      <w:r>
        <w:t>La recourante conteste l’appréciation de la juge de paix au motif que le décompte du 7 octobre 2021 préciserait, pour chaque facture, le montant réclamé et sa date. Ces factures étant datées de 2020 et 2021, elles seraient selon elle exigibles. Le décompte du 7 octobre 2021 fait bien figurer les dates de sept factures entre avril 2020 et juillet 2021 pour un solde dû de 16'368 fr. 05. Toutefois, la recourante perd de vue que l’accord manuscrit au pied dudit décompte emporte novation, de sorte que les dates d’exigibilité initiales des factures en cause ont été remplacées par de nouvelles échéances. Selon cet accord, le solde dû, sous déduction des 3'000 fr., devait être payé « en 12 mois, après octobre 2021 ». Ainsi, à la date de la poursuite, notifiée le 11 février 2022, le solde n’était pas encore exigible. Le grief de la recourante doit être rejeté.</w:t>
      </w:r>
    </w:p>
    <w:p>
      <w:r>
        <w:rPr>
          <w:b/>
        </w:rPr>
        <w:t>E. 3.2.2</w:t>
      </w:r>
    </w:p>
    <w:p>
      <w:r>
        <w:t>La recourante reproche à la juge de paix de ne pas s’être prononcée sur les frais de la poursuite. Cependant, les frais de poursuite suivent le sort de la poursuite et sont remboursés d’office au poursuivant si la poursuite aboutit. Ils ne sont pas l’objet du jugement de mainlevée. Faute de jugement ou de reconnaissance de dette, la mainlevée ne saurait être prononcée pour ces frais (TF 5A_446/2020 consid. 3.4.1 ; CPF 30 novembre 2022/198 consid. 2.c ; CPF 30 décembre 2020/366 consid. 3.4 ; CPF 9 novembre 2012/420 consid. II.c ; CPF 3 février 2011/33 consid. 2 ; CPF 24 septembre 2009/308 consid. II/d ; CPF 24 septembre 2009/307 consid. II/a ; Abbet, in Abbet/Veuillet, La mainlevée de l'opposition, n. 68 ad art. 84 LP). C’est dès lors à juste titre que la mainlevée n’a pas été prononcée pour les frais de poursuite.</w:t>
      </w:r>
    </w:p>
    <w:p>
      <w:r>
        <w:rPr>
          <w:b/>
        </w:rPr>
        <w:t>E. 3.2.3</w:t>
      </w:r>
    </w:p>
    <w:p>
      <w:r>
        <w:t>La recourante conteste enfin la répartition des frais opérée par la juge de paix, estimant que l’entier des frais judiciaires de première instance aurait dû être mis à la charge de la poursuivie. Quand bien même la recourante ne le précise pas, cette conclusion est vraisemblablement une conséquence de sa conclusion principale en réforme. Dans tous les cas, il convient de relever que la juge de paix a réparti les frais conformément à l’art. 106 al. 2 CPC, soit « selon le sort de la cause » ou, en d’autres termes, proportionnellement à la mesure dans laquelle chaque partie a succombé (Tappy, in CR-CPC, n. 33 ad art. 106 CPC), la poursuivante ayant obtenu en première instance moins du quart de ses prétentions. Au demeurant, la recourante n’invoque aucun argument à l’appui de sa conclusion, qui doit être rejetée.</w:t>
      </w:r>
    </w:p>
    <w:p>
      <w:r>
        <w:rPr>
          <w:b/>
        </w:rPr>
        <w:t>E. 4</w:t>
      </w:r>
    </w:p>
    <w:p>
      <w:r>
        <w:t>En conclusion, le recours, manifestement infondé au sens de l’art. 322 al. 1 CPC, doit être rejeté et le prononcé confirmé. Vu le rejet du recours, les frais judiciaires de deuxième instance, arrêtés à 540 fr. (art. 61 OELP [Ordonnance fédérale sur les émoluments perçus en application de la loi fédérale sur la poursuite pour dettes et la faillite ; RS 281.35]), doivent être mis à la charge de la recourante, qui succombe (art. 106 al. 1 CPC).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