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36 vom 4. April 2023</w:t>
      </w:r>
    </w:p>
    <w:p>
      <w:r>
        <w:t>VD Tribunal cantonal, 2023-04-04, FR</w:t>
      </w:r>
    </w:p>
    <w:p>
      <w:r>
        <w:rPr>
          <w:b/>
        </w:rPr>
        <w:t xml:space="preserve">Quelle: </w:t>
      </w:r>
      <w:r>
        <w:t>https://mcp.opencaselaw.ch/entscheid/vd_findinfo_ML___2023___36</w:t>
      </w:r>
    </w:p>
    <w:p>
      <w:r>
        <w:t>FR: VD_FINDINFO ML / 2023 / 36 du 4 avril 2023</w:t>
      </w:r>
    </w:p>
    <w:p>
      <w:r>
        <w:t>IT: VD_FINDINFO ML / 2023 / 36 del 4 aprile 2023</w:t>
      </w:r>
    </w:p>
    <w:p>
      <w:pPr>
        <w:pStyle w:val="Heading2"/>
      </w:pPr>
      <w:r>
        <w:t>Regeste</w:t>
      </w:r>
    </w:p>
    <w:p>
      <w:r>
        <w:t>GAGE IMMOBILIER, POURSUITE EN RÉALISATION DE GAGE, CÉDULE HYPOTHÉCAIRE SUR PAPIER, ORIGINAL, COPIE, SÉQUESTRE{MESURE PROVISIONNELLE}, NOTAIRE, ATTESTATION, PRÊT DE CONSOMMATION, RETRAIT{VOIE DE DROIT}, REQUÊTE DE MAINLEVÉE, NOUVELLE DEMANDE | 82 LP</w:t>
      </w:r>
    </w:p>
    <w:p>
      <w:pPr>
        <w:pStyle w:val="Heading2"/>
      </w:pPr>
      <w:r>
        <w:t>Erwägungen</w:t>
      </w:r>
    </w:p>
    <w:p>
      <w:r>
        <w:rPr>
          <w:b/>
        </w:rPr>
        <w:t>E. 25</w:t>
      </w:r>
    </w:p>
    <w:p>
      <w:r>
        <w:t>juillet 2018 consid. 3.1 ; Bohnet, CR-CPC, n. 109 ad art. 59 CPC). La décision par laquelle le juge ordonne l’exécution et fixe les modalités de celle-ci n’est pas un jugement au fond au sens de la jurisprudence susmention-née. Elle n’a en conséquence pas d’autorité de la chose jugée et ne déploie formelle-ment d’effet que pour la requête ayant déclenché la saisine du tribunal de l’exécu-tion. Rien n’empêche l’une ou l’autres des parties de revenir vers celui-ci sur la base d’un dossier différend et en particulier réitérer sa requête en se prévalant de faits et moyens de preuves non soumis précédemment au tribunal de l’exécution (Jeandin, CR-CPC, n. 21 ad art. 341 CPC). Ces principes généraux de la procédure d’exécution s’appliquent aux prononcés statuant sur une requête mainlevée provisoire ou définitive de l’opposi-tion, qui sont des pures décisions d’exécution forcée, des incidents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 e éd., n. 733a p. 178). Ainsi, la jurisprudence admet que l'auto-rité de la chose jugée a une portée limitée dans ce domaine : elle ne vaut que pour la procédure d'exécution en cause et pour autant que l'état de fait reste le même (ATF 133 III 580 consid. 2.1). La décision de mainlevée ne produit des effets que sur le plan du droit des poursuites et non sur le plan matériel.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 n. 744a, p. 195 ; CPF 18 novembre 2019/45). La jurisprudence admet en outre que le créancier peut introduire une nouvelle procédure de mainlevée dans la même poursuite après disparition du vice entachant le titre invoqué pour l’exécution (ATF 143 III 564 consid. 4.1 et les références). Le retrait de la requête de mainlevée ou désistement par le créancier a les mêmes effets qu’une décision de rejet (ATF 141 III 376 consid. 3.4). Un retrait n’empêche pas le dépôt d’une nouvelle requête y compris dans la même poursuite, cela même s’il intervient après la notification de la requête à la partie adverse ou sans son accord (cf. art. 65 CPC ; Abbet, in Abbet/Veuillet (éd.), La mainlevée de l’opposition, 2 e éd., 2022, n. 130 ad art. 84 LP). c) En l’espèce, au vu des considérants qui précèdent, il y a lieu de constater, comme l’avait fait la juge de paix, que le fait que le poursuivant avait déposé le 4 janvier 2022, puis retiré le 23 février 2022, une première requête de mainlevée ne l’empêchait nullement de déposer une nouvelle requête, ce qu’il a fait le 11 avril 2022. Le grief tiré de l’irrecevabilité de la seconde requête de mainlevée, fondé sur l’art. 65 CPC, est donc mal fondé. IV. a) Les recourants font ensuite valoir que la juge de paix aurait dû ordonner la production de l’original de la cédule hypothécaire invoquée comme titre de mainlevée, « la possession de l’intimé étant contredite par le séquestre pénal de ses avoirs par le Ministère public polonais ». Ils en concluent que, le poursuivant n’ayant pas établi être détenteur de la cédule en cause, la requête de mainlevée aurait dû être rejetée. b) 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op. cit. , nn. 32 et 92 ad 82 LP). bb) La cédule hypothécaire est une créance personnelle garantie par un gage immobilier (art. 842 al. 1 CC [Code civil suisse du 10 décembre 1907 ; RS 210]). Elle prend la forme d’une cédule sur papier ou de registre (art. 843 CC). La cédule sur papier est un papier-valeur qui incorpore à la fois la créance et le droit de gage immobilier qui en est l’accessoire (ATF 140 III 180 consid. 5.1 ; ATF 140 III 36 consid. 4, JdT 2015 II 337). Depuis le 1 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 op. cit. , nn. 223 et 228 ad art. 82 LP et les références). Seule la créance abstraite peut et doit faire l’objet d’une poursuite en réalisation de gage (immobilier) ; la créance causale doit faire l’objet d’une poursuite ordinaire (ATF 144 III 29 consid. 4.2 ; ATF 140 III 180 consid. 5.1.1 ; ATF 136 III 288 consid. 3.1). cc)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ATF 140 III 36 consid. 4 ; ATF 134 III 71 consid. 3 ; TF 5A_734/2018 du 4 décembre 2018 consid. 4.3.2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TF 5A_785/2016 du 2 février 2017 consid. 3.2.2 ; Veuillet, op. cit. , nn. 95 et 231 ad art. 82 LP ). 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(TF 5A_952/2020 du 4 février 2021 consid. 4.1 et 4.2 et les références ; TF 5A_740/2018 du 1 er avril 2019, consid. 7.1, non publié in ATF 145 III 160 ; ATF 140 III 36 consid. 4 ; ATF 134 III 71 consid. 3 ; ATF 129 III 12 consid. 2.5 ; Steinauer, La cédule hypothécaire, 2016, n.10 ad art. 860 CC).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(TF 5A_952/2020 précité loc. cit . ; TF 5A_740/2018 précité loc. cit. ). Il incombe alors au débiteur de renverser cette présomption, en rendant à tout le moins vraisemblable sa libération (TF 5A_952/2020 précité loc. cit. ; TF 5A_734/2018 précité consid. 4.3.3 et les références). dd) Dans la procédure de mainlevée contre le tiers propriétaire, le créancier doit aussi établir par pièces avoir dénoncé dans les délais la cédule au remboursement tant au débiteur qu’au tiers (art. 831 et 845 CC ; Denys, Cédule hypothécaire et mainlevée, in JT 2008 II 2, p. 14). La reconnaissance de la dette par le débiteur (non propriétaire) est également requise ; il n’est pas nécessaire, en revanche, ni même possible, que le tiers propriétaire ait reconnu la créance garantie; en effet, dans ce cas, il ne serait plus un tiers mais un codébiteur (ATF 140 III 36 consid. 4 ; Staehelin, in Staehelin/Bauer/Staehelin (éd.), Basler Kommentar, SchKG I, 2 e éd., 2016 , n. 171 ad art. 82 SchGK ; Veuillet, op. cit. , n. 242 ad art. 82 LP et les références). ee) Le poursuivant qui requiert la mainlevée provisoire sur la base d’une cédule hypothécaire doit produire celle-ci. La copie d'une cédule, comme la production d'une copie d'une reconnaissance de dette, déploie les mêmes effets que la production de l'original, pour autant que le poursuivi ne conteste pas l'authenticité de la pièce, ni sa conformité avec l'original, ni la possession de l'original par le poursuivant (Panchaud/Caprez, La mainlevée d'opposition, § 10 n. 8 ; Denys, op. cit., p.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CR-CPC, n. 3 ad art. 180 CPC ; CPF 29 décembre 2016/397). ff)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 e éd., pp. 156-157, nn. 784 et 785). Il n'a pas à apporter la preuve absolue (ou stricte) de ses moyens libéra-toires, mais seulement à les rendre vraisemblables, en principe par titre (art. 254 al. 1 CPC ; ATF 145 III 20 consid. 4.1.2 ; ATF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c) En l’espèce, X.________ a introduit une poursuite en réalisation de gage immobilier tendant au paiement de la créance cédulaire (abstaite), fondée sur la cédule hypothécaire sur papier au porteur No 018-2014/000830 établie le 20 avril 2018, constitué par acte notarié, grevant en deuxième rang l’immeuble n° [...] de la Commune de Montreux pour un montant de 1'670’000 fr. avec intérêt maximum de 10%. Les recourants ne contestent pas – à juste titre – qu’ils s’étaient tous trois déclarés débiteurs solidaires envers le poursuivant de la dette cédulaire précitée de 1'670'000 fr. avec intérêt à 10%, ni que la cédule hypothécaire en cause avait été remise en garantie au poursuivant, ni que la cédule a été valablement dénoncée au remboursement au 31 octobre 2021. Ils contestent toutefois – et c’est le seul point qu’ils soulèvent – que le poursuivant soit détenteur de la cédule et cela au vu d’un séquestre qui aurait été ordonné par les autorités polonaises sur les biens de X.________; ils soutiennent que pour obtenir la mainlevée, le poursuivant aurait dû établir la possession du titre invoqué en produisant l’original de la cédule en cause. A l’appui de sa requête de mainlevée du 11 avril 2022, le poursuivant a produit une copie de la cédule hypothécaire No 018-2014/000830 établie le 20 avril 2018, munie d’une attestation de conformité signée le 22 février 2022 par la notaire [...] certifiant que la photocopie était la reproduction fidèle et complète du document original qui lui a été présentée ; cette mention était également une photocopie. Lors de l’audience du 24 mai 2022, la juge de paix a enjoint au poursuivant de produire l’original ou une copie certifiée conforme à l’original de la cédule hypothécaire en cause. Le 7 juin 2022, dans le délai imparti, le poursuivant a produit une nouvelle copie de la cédule hypothécaire N° 018-2014/000830 du 20 avril 2018, comportant – en original – une attestation de Me [...], apposée en date du 7 juin 2022, certifiant que « la présente photocopie, sur une (1) feuille de format A4 recto, est la reproduction fidèle et complète du document original qui lui a été présenté. – DONT ACTE, délivré en brevet, à VEVEY LE SEPT JUIN DEUX MILLE VINGT-DEUX » ; cette mention porte le timbre humide et la signature originale de la notaire. Au vu de cette attestation, il n’est pas douteux que la copie produite soit conforme à l’original. Cette attestation suppose également que l’original de la cédule a été présenté à la notaire le 7 juin 2022, comme il a dû l’être le 22 février 2022. L’argument des recou-rants consistant à dire que l’attestation du 7 juin 2022 « ne permet pas de déterminer la date à laquelle la cédule a été présentée à Me [...]» et que « la cédule a vraisemblablement pu être séquestrée entre le moment où [...] a vu la cédule et celui où elle a établi la seconde attestation de conformité » est très peu convaincant. L’argument de l’intimé qui dit avoir fait le choix de ne pas produire au dossier l’original d’un titre au porteur portant sur 1'670'000 fr. l’est davantage. L’intimé est également crédible lorsqu’il soutient que pour obtenir de la notaire l’attestation de conformité le 7 juin 2022, il a dû présenter l’original de la cédule. Le prétendu séquestre de la cédule querellée ne ressort par ailleurs pas des documents produits par les recourants, en particulier de la décision du 16 novembre 2020 du Bureau du Procureur régional de Wroclaw. En effet, si cette décision prononce la confiscation de l’avantage patrimonial potentiellement tiré par X.________ de la commission d’infractions ou un montant de remplacement équivalent, ainsi que d’un immeuble n° [...] inscrit au Registre foncier et hypothécaire du district de Varsovie-Mokotòw sous n° WA4M/00440809/2, elle ne fait aucune mention de la cédule hypothécaire invoquée dans le cadre de la présente procédure, ni de l’immeuble n° [...] de la Commune de Montreux qu’elle grève . Au vu de ces éléments, le grief tiré de l’absence de possession par le poursuivant de la cédule hypothécaire invoquée, grief à l’appui duquel les recourants ne formulent que des hypothèses, sans les rendre vraisemblables, ne saurait être retenu. Il en découle que la copie – certifiée conforme à l’original par notaire – de la cédule hypothécaire produite le 7 juin 2022 a force probante et constitue bien un titre de mainlevée provisoire pour le montant de 1'670'000 fr. plus intérêt à 10% l’an dès le 1 er novembre 2021. C’est donc à juste titre que la juge de paix a pronon-cé, à concurrence de ce montant, la mainlevée provisoire des oppositions formées par D.________, Z.________ et [...] à la poursuite n° 10'184'559 de l’Office des poursuites du district de la Riviera-Pays-d’Enhaut. IV. En conclusion, le recours doit être rejeté et le prononcé attaqué confirmé. Vu l’issue du recours, les frais judiciaires de deuxième instance, arrêtés à 2’700 fr. (art. 61 OELP [Ordonnance du 23 septembre 1996 sur les émoluments perçus en application de LP ; RS 281.35]) doivent être mis à la charge des recou-rants (art. 106 al. 1 CPC), solidairement entre eux. Ce montant ayant été perçu deux fois, vu l’ouverture de deux dossiers, un montant de 2'700 fr. sera restitué aux recourants pour tenir compte de la jonction des causes. Les recourants verseront en outre, solidairement entre eux, à l’intimé des dépens de deuxième instance, qu’il convient de fixer, au vu de la valeur litigieuse et du travail effectué par le conseil de l’intimée, à 2'000 fr. (cf.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