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203 vom 11. April 2024</w:t>
      </w:r>
    </w:p>
    <w:p>
      <w:r>
        <w:t>VD Tribunal cantonal, 2024-04-11, FR</w:t>
      </w:r>
    </w:p>
    <w:p>
      <w:r>
        <w:rPr>
          <w:b/>
        </w:rPr>
        <w:t xml:space="preserve">Quelle: </w:t>
      </w:r>
      <w:r>
        <w:t>https://mcp.opencaselaw.ch/entscheid/vd_findinfo_ML___2023___203</w:t>
      </w:r>
    </w:p>
    <w:p>
      <w:r>
        <w:t>FR: VD_FINDINFO ML / 2023 / 203 du 11 avril 2024</w:t>
      </w:r>
    </w:p>
    <w:p>
      <w:r>
        <w:t>IT: VD_FINDINFO ML / 2023 / 203 del 11 aprile 2024</w:t>
      </w:r>
    </w:p>
    <w:p>
      <w:pPr>
        <w:pStyle w:val="Heading2"/>
      </w:pPr>
      <w:r>
        <w:t>Regeste</w:t>
      </w:r>
    </w:p>
    <w:p>
      <w:r>
        <w:t>APPRÉCIATION DES PREUVES, INTERDICTION DE L'ARBITRAIRE, CRÉANCE GARANTIE PAR GAGE, DROIT D'ÊTRE ENTENDU, GAGE IMMOBILIER, RÉSILIATION, TITRE AU PORTEUR, LIMITATION ARBITRAIRE DU POUVOIR D'EXAMEN, CÉDULE HYPOTHÉCAIRE SUR PAPIER, CONSTATATION DES FAITS | 153 al. 2 let. a LP, 82 LP, 320 let. b CPC (CH)</w:t>
      </w:r>
    </w:p>
    <w:p>
      <w:pPr>
        <w:pStyle w:val="Heading2"/>
      </w:pPr>
      <w:r>
        <w:t>Erwägungen</w:t>
      </w:r>
    </w:p>
    <w:p>
      <w:r>
        <w:rPr>
          <w:b/>
        </w:rPr>
        <w:t>E. 8</w:t>
      </w:r>
    </w:p>
    <w:p>
      <w:r>
        <w:t>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