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153 vom 20. November 2023</w:t>
      </w:r>
    </w:p>
    <w:p>
      <w:r>
        <w:t>VD Tribunal cantonal, 2023-11-20, FR</w:t>
      </w:r>
    </w:p>
    <w:p>
      <w:r>
        <w:rPr>
          <w:b/>
        </w:rPr>
        <w:t xml:space="preserve">Quelle: </w:t>
      </w:r>
      <w:r>
        <w:t>https://mcp.opencaselaw.ch/entscheid/vd_findinfo_ML___2023___153</w:t>
      </w:r>
    </w:p>
    <w:p>
      <w:r>
        <w:t>FR: VD_FINDINFO ML / 2023 / 153 du 20 novembre 2023</w:t>
      </w:r>
    </w:p>
    <w:p>
      <w:r>
        <w:t>IT: VD_FINDINFO ML / 2023 / 153 del 20 novembre 2023</w:t>
      </w:r>
    </w:p>
    <w:p>
      <w:pPr>
        <w:pStyle w:val="Heading2"/>
      </w:pPr>
      <w:r>
        <w:t>Regeste</w:t>
      </w:r>
    </w:p>
    <w:p>
      <w:r>
        <w:t>MAINLEVÉE PROVISOIRE, ACTE DE DÉFAUT DE BIENS, REJET DE LA DEMANDE | 149 al. 2 LP, 82 al. 1 LP</w:t>
      </w:r>
    </w:p>
    <w:p>
      <w:pPr>
        <w:pStyle w:val="Heading2"/>
      </w:pPr>
      <w:r>
        <w:t>Erwägungen</w:t>
      </w:r>
    </w:p>
    <w:p>
      <w:r>
        <w:rPr>
          <w:b/>
        </w:rPr>
        <w:t>E. 19</w:t>
      </w:r>
    </w:p>
    <w:p>
      <w:r>
        <w:t>décembre 2008 ; RS 272]). Le prononcé attaqué a été remis le 9 août 2023 au recourant, en main propre au greffe de la justice de paix. Posté le 17 août 2023, le recours a ainsi été déposé en temps utile, dans les dix jours suivant la notification de la décision motivée (art. 321 al. 2 CPC), survenue à l’issue du délai de garde échéant le 7 août 2023, ce qui paraît douteux, dès lors que le poursuivi a été avisé de l’arrivée du pli qui lui était destiné pendant les féries (cf. CPF 11 juin 2015/161) ; cette question peut néanmoins rester ouverte dans le cas d’espèce. Partant, le recours est recevable, sous réserve des conclusions tendant à l’annulation du jugement rendu le 18 juin 1992 par le Juge de paix du cercle de Lausanne, qui ne relève pas de la compétence du juge de la mainlevée, et de celles tendant à l’annulation des décisions de mainlevée de la justice de paix, qui sont manifestement tardives. b) En matière de mainlevée, l’autorité de recours statue sur la base du dossier, tel qu’il a été constitué devant le premier juge et n’administre pas de nouvelles preuves (art. 326 al. 1 CPC). En l’espèce, les pièces produites à l’appui du recours sont recevables dans la mesure où elles figurent déjà au dossier de première instance.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Le contentieux de la mainlevée d'opposition, soumis à la procédure sommaire (art. 251 let. a CPC), est une procédure sur pièces (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ab) La loi prévoit qu’un acte de défaut de biens après saisie constitue une reconnaissance de dette et donc un titre à la mainlevée provisoire au sens de l’art. 82 LP (art. 149 al. 2 LP), de même que le procès-verbal de saisie constatant l’absence de biens saisissables (art. 115 al. 1 LP ; Veuillet, in Abbet/Veuillet (éd.), La mainlevée de l’opposition, 2 e éd., 2022, n. 209 ad art. 82 LP, p. 196).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(loi fédérale complétant le Code civil suisse [Livre cinquième : Droit des obligations] du 30 mars 1911 ; RS 220) ni création d’un rapport juridique nouveau qui viendrait doubler l’ancien et dont pourrait naître un droit d’action distinct. Le débiteur peut ainsi se prévaloir dans la procédure de mainlevée de tous les moyens de défense tirés du rapport juridique de base.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TF 5D_65/2021 du 25 mars 2022 consid. 4.1 ; 4A_259/2020 du 26 février 2021 consid. 3.1). Si la créance a déjà fait l’objet d’un jugement, le créancier peut requérir à son choix la mainlevée définitive en se fondant sur cette décision ou la mainlevée provisoire sur la base de l’acte de défaut de biens (Veuillet, op. cit. , n. 216 ad art. 82 LP, p. 198 et les références citées). b) ba) Dans son recours, le recourant conteste tout d’abord le taux d’intérêts de 18 % comptabilisé sur sa dette initiale en capital. Il ressort toutefois du dossier que ce taux a été fixé dans le cadre du jugement rendu le 18 juin 1992 par le Juge de paix du cercle de Lausanne, lequel est depuis longtemps définitif et exécutoire. Ce point ne peut donc pas être revu par le juge de la mainlevée. Le moyen est dès lors mal fondé. bb) Le recourant soutient ensuite ne pas avoir eu connaissance de certaines décisions de mainlevée qui ont été rendues au cours des différentes poursuites exercées contre lui, notamment les prononcés de mainlevée des 11 septembre 1998, 24 novembre 1999 et 14 novembre 2003 du Juge de paix du cercle de Lutry. Il relève également que le prononcé de mainlevée ayant abouti à l’acte de défaut de biens du 7 novembre 1996 n’a pas été produit par l’intimée. Quand bien même les prononcés susmentionnés ont été rendus par défaut des parties, il paraît très peu vraisemblable que ces décisions ne soient pas parvenues au recourant, qui en était destinataire. En tout état de cause, il s’agit d’un moyen qui aurait dû être soulevé par le recourant dans le cadre d’une plainte (art. 17 LP) dirigée contre les différents actes de défaut de biens établis par les offices de poursuites respectifs, actes que le recourant ne conteste pas avoir reçus. Le fait que l’intimée n’ait pas produit la décision de mainlevée ayant conduit à l’acte de défaut de biens du 7 novembre 1996 est sans incidence, dans la mesure où la seule production de l’acte de défaut de biens suffit pour attester que le débiteur n’a pas formé opposition ou que son opposition a été levée d’une part, et que le titre de mainlevée n’est en l’occurrence pas l’acte de défaut de biens délivré le 7 novembre 1996 mais celui du 2 février 2004 d’autre part. Dans ces circonstances, c’est à juste titre que le premier juge a considéré que l’intimée était au bénéfice d’un titre à la mainlevée provisoire. Le recourant ne rendant vraisemblable aucun moyen libératoire, la mainlevée provisoire ne pouvait qu’être prononcée par le juge de paix. III. Au vu de ce qui précède, le recours, manifestement infondé, doit être rejeté en application de l’art. 322 al. 1 in fine CPC dans la mesure où il est recevable et le prononcé attaqué confirmé. Les frais judiciaires de deuxième instance, arrêtés à 270 fr. (art. 61 OELP [ordonnance sur les émoluments perçus en application de la loi fédérale sur la poursuite pour dettes et la faillite ; RS 281.35]), sont mis à la charge du recourant,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