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147 vom 30. Oktober 2023</w:t>
      </w:r>
    </w:p>
    <w:p>
      <w:r>
        <w:t>VD Tribunal cantonal, 2023-10-30, FR</w:t>
      </w:r>
    </w:p>
    <w:p>
      <w:r>
        <w:rPr>
          <w:b/>
        </w:rPr>
        <w:t xml:space="preserve">Quelle: </w:t>
      </w:r>
      <w:r>
        <w:t>https://mcp.opencaselaw.ch/entscheid/vd_findinfo_ML___2023___147</w:t>
      </w:r>
    </w:p>
    <w:p>
      <w:r>
        <w:t>FR: VD_FINDINFO ML / 2023 / 147 du 30 octobre 2023</w:t>
      </w:r>
    </w:p>
    <w:p>
      <w:r>
        <w:t>IT: VD_FINDINFO ML / 2023 / 147 del 30 ottobre 2023</w:t>
      </w:r>
    </w:p>
    <w:p>
      <w:pPr>
        <w:pStyle w:val="Heading2"/>
      </w:pPr>
      <w:r>
        <w:t>Regeste</w:t>
      </w:r>
    </w:p>
    <w:p>
      <w:r>
        <w:t>MOTIVATION DE LA DEMANDE, DÉCISION D'IRRECEVABILITÉ | 321 al. 1 CPC (CH)</w:t>
      </w:r>
    </w:p>
    <w:p>
      <w:pPr>
        <w:pStyle w:val="Heading2"/>
      </w:pPr>
      <w:r>
        <w:t>Volltext</w:t>
      </w:r>
    </w:p>
    <w:p>
      <w:r>
        <w:t>Vaud Tribunal cantonal Cour des poursuites et faillites ML / 2023 / 147</w:t>
      </w:r>
    </w:p>
    <w:p>
      <w:r>
        <w:t>MOTIVATION DE LA DEMANDE, DÉCISION D'IRRECEVABILITÉ | 321 al. 1 CPC (CH)</w:t>
      </w:r>
    </w:p>
    <w:p>
      <w:r>
        <w:t>TRIBUNAL CANTONAL KC23.021729-231200 198 Cour des poursuites et faillites ________________________________________________ Arrêt du 30 octobre 2023 __________________ Composition :              M. Hack , président Mmes Byrde et Giroud Walther, juges Greffier : Mme              Umulisa Musaby ***** Art. 321 al. 1 CPC Vu le prononcé rendu sous forme de dispositif le 29 juin 2023, adressé aux parties le 14 juillet 2023 et notifié à la poursuivie Y.________ , à Lausanne, le 17 juillet 2023, par lequel la Juge de paix du district de Lausanne a prononcé à concurrence de 1'288 fr. avec intérêt à 5% l’an dès le 1 er janvier 2023, la mainlevée définitive de l’opposition formée par la poursuivie au commandement de payer qui lui avait été notifié à la réquisition de W.________ , à Pully, dans la poursuite ordinaire n° 10653280 de l'Office des poursuites du district de Lausanne (I), a arrêté à 150 fr. les frais judiciaires, compensés avec l’avance de frais de la partie poursuivante (II), les a mis à la charge de la poursuivie (III) et a dit qu’en conséquence celle-ci rembourserait à la poursuivante son avance de frais à concurrence de 150 fr. et lui verserait la somme de 300 fr. à titre de dépens, en défraiement de son représentant professionnel (IV), vu le courrier du 18 juillet 2023, interprété comme une demande de motivation, que la poursuivie a adressé à la juge de paix en déclarant faire «opposition» totale à l’envoi du 14 juillet 2023, vu les motifs du prononcé, adressés aux parties le 10 août 2023, vu l’extrait du suivi des envois postaux, dont il ressort que le 11 août 2023 la poursuivie a été avisée que le pli contenant les motifs du prononcé pouvait être retiré jusqu’au 18 août 2023 et que ce pli a été retourné à son expéditeur le 19 août 2023 avec la mention «non réclamé», vu la transmission de l’acte du 18 juillet 2023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 le droit de recourir peut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l’acte du 18 juillet 2023 a été interjeté dans le délai de demande de motivation, soit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2019, 2 e éd., n. 1 ad art. 321 CPC), que le recours doit contenir, sous peine d'irrecevabilité, des conclusions en annulation ou au fond, soit ce que la partie veut que le tribunal lui alloue dans sa décision (TF 4A_260/2022 du 7 mars 2023 consid. 1.2 ; TF 4A_85/2015 du 8 septembre 2015 consid. 1.3 ; CREC 2 mars 2023/51), qu’en outre, selon l'art. 321 al. 1 CPC, le recours doit être motivé, qu’il incombe au recourant de s'en prendre à la motivation de la décision attaquée pour tendre à en démontrer le caractère erroné,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 er juin 2016 consid. 4.2.2 et les arrêts cités), qu’en l’espèce, l’ «opposition» formée le 18 juillet 2023 n’a pas été suivie d’un acte de recours dûment motivé, acte qui aurait dû être déposé dans le délai de recours qui a expiré le 28 août 2023, soit dix jours après l’échéance du délai de garde postale de sept jours (art. 321 al. 2 CPC avec l’art. 138 al. 3 let. a CPC), qu’or, l’écriture de la recourante ne contient pas de conclusion ni de grief dirigé contre le prononcé de la juge de paix, que ne satisfaisant pas aux exigences de conclusion et de motivation, le recours doit être déclaré irrecevable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 ‑ Mme Y.________ ‑ M. Jean-Daniel Nicaty, agent d’affaires breveté (pour W.________) La Cour des poursuites et faillites considère que la valeur litigieuse est de 1'288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