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66 vom 29. Juni 2022</w:t>
      </w:r>
    </w:p>
    <w:p>
      <w:r>
        <w:t>VD Tribunal cantonal, 2022-06-29, FR</w:t>
      </w:r>
    </w:p>
    <w:p>
      <w:r>
        <w:rPr>
          <w:b/>
        </w:rPr>
        <w:t xml:space="preserve">Quelle: </w:t>
      </w:r>
      <w:r>
        <w:t>https://mcp.opencaselaw.ch/entscheid/vd_findinfo_ML___2022___66</w:t>
      </w:r>
    </w:p>
    <w:p>
      <w:r>
        <w:t>FR: VD_FINDINFO ML / 2022 / 66 du 29 juin 2022</w:t>
      </w:r>
    </w:p>
    <w:p>
      <w:r>
        <w:t>IT: VD_FINDINFO ML / 2022 / 66 del 29 giugno 2022</w:t>
      </w:r>
    </w:p>
    <w:p>
      <w:pPr>
        <w:pStyle w:val="Heading2"/>
      </w:pPr>
      <w:r>
        <w:t>Regeste</w:t>
      </w:r>
    </w:p>
    <w:p>
      <w:r>
        <w:t>FRANÇAIS, HÉRITIER, RECONNAISSANCE DE DETTE ABSTRAITE, DROIT ÉTRANGER, VICE DU CONSENTEMENT, LEX FORI, ACTE UNILATÉRAL | 82 LP</w:t>
      </w:r>
    </w:p>
    <w:p>
      <w:pPr>
        <w:pStyle w:val="Heading2"/>
      </w:pPr>
      <w:r>
        <w:t>Erwägungen</w:t>
      </w:r>
    </w:p>
    <w:p>
      <w:r>
        <w:rPr>
          <w:b/>
        </w:rPr>
        <w:t>E. 2</w:t>
      </w:r>
    </w:p>
    <w:p>
      <w:r>
        <w:t>e éd. 2019, n. 16 ad art. 150 CPC), en particulier l’art. 116 LDIP (loi fédérale sur le droit international privé ; RS 291), dont l’alinéa 1 prévoit que le contenu du droit étranger est établi d'office, la collaboration des parties pouvant être requise (CPF 13 janvier 2016/15 ; CPF 12 juin 2018/77). En l’espèce, les pièces 1001 (prononcé attaqué) et 1002 (procuration) produites à l’appui du recours sont recevables ; il en va de même des pièces 1003 (extrait du Code civil français) et 1004 (arrêt de la Cour de cassation civile française rendue le 15 octobre 2014 sur contestation d’une décision de la Cour d’appel d’Orléans) au vu de la jurisprudence et doctrine précitées ; sont en revanches irrecevables les pièces 1004 et 1005 (courriers des conseils des parties des 9 et 15 novembre 2021) qui sont nouvelles, dès lors qu’elles n’ont été produites qu’après l’audience du 9 novembre 2021. Les pièces 1006 (procuration), 1007 (enveloppe), 1010 (décision d’effet suspensif du 21 décembre 2021), 1016 à 1022 (arrêts de la Cour de cassation civile française) produites à l’appui de la réponse sont recevables ; il en va de même des pièces 1011 et 1012 (extraits du Registre du commerce) qui concernent des faits notoires (ATF 143 IV 380 consid. 1.1.1 ; ATF 138 II 557 consid. 6.2) ; sont en revanche irrecevables les pièces 1008 et 1009 (courriers de l’avocate du poursuivant du 16 novembre 2021), 1013 (extrait du Registre des poursuites) et 1014 (extrait du Registre foncier ; seules certaines données y figurant étant notoires ; TF 1C_547/ 2020 du 25 septembre 2021 consid. 2.1) et 1015 (inventaire des actifs de la succès-sion de feu [...]) qui sont nouvelles. II. La requête de mainlevée est fondée sur une reconnaissance de dette du 8 novembre 2017. La recourante fait valoir que cette reconnaissance de dette serait « invalide » au regard du droit français, qui doit s’appliquer selon elle ; elle plaide que selon ce droit, pour être valable, une reconnaissance de dette devrait comporter la mention manuscrite en chiffres et en lettres du montant reconnu, ce qui n’est pas le cas en l’espèce ; qu’ayant été rédigée par l’avocate du poursuivant, la reconnaissance de dette invoquée « émane d’un tiers » ce qui l’invaliderait ; que les prêts à l’origine de la reconnaissance de dette seraient prescrits, le délai de prescrip-tion étant de cinq ans selon le droit français ; qu’ils l’auraient été déjà au moment de la signature de la reconnaissance de dette le 8 novembre 2017, si bien que cette signature aurait été « obtenue de mauvaise foi », « sous la pression d’un profession-nel » « l’avocate [ayant] usé de sa position dominante et laissé entendre au défunt qu’il devrait verser la somme litigieuse, alors qu’elle était prescrite » ; que « sur le fond » la requête de mainlevée devrait être rejetée au motif que les pièces du dossier « ne permettent pas de déterminer l’emprunteur ni à qui le prêt litigieux a été versé » ; qu’aucun intérêt moratoire ne pouvait par ailleurs être accordé, dès lors que la reconnaissance de dette n’en prévoyait pas, que le droit français s’applique en lieu et place de l’art. 104 CO et qu’en tout état de cause, l’inventaire successoral ne prévoit aucun intérêt pour le montant colloqué en lien avec la reconnaissance de dette invoquée. III. 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(TF 5A_595/2021 du 14 janvier 2022 ;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 Veuillet, in Abbet/Veuillet [éd.], La mainlevée de l’opposition, Berne 2017, nn. 32 et 92 ad 82 LP). b)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 ATF 145 III 20 consid. 4.1.1 ; 139 III 297 consid. 2.3.1 et les références) ; elle peut résulter du rapprochement de plusieurs pièces, dans la mesure où les éléments nécessaires en résultent ( ATF 139 III 297 consid. 2.3.1; 136 III 627 consid. 2 et la référence). Une reconnaissance de dette peut être causale, lorsque la cause de l'obligation y est mentionnée, ou abstraite à ce défaut ; dans les deux cas, elle est valable (art. 17 CO ; Tevini, Commentaire romand, Code des obligations I, 2012, n. 1 ad art. 17 CO). Cependant, même en présence d’une reconnaissance de dette abstraite, celle-ci reste matériellement causale (Veuillet, op. cit. , n. 113 ad art. 82 LP). Il n’y a donc point d’obligation (dette ou créance) en l’absence d’une cause valable (Tevini, op. cit. , n. 2 ad art. 17 CO ; TF 4A_201/2018 du 12 février 2019 consid. 3.3.1.3 ; TF 4A_152/ 2013 du 20 septembre 2013 consid. 2.3 ; ATF 119 II 452 consid. 1d, JdT 1995 I 28 ; ATF 105 II 183 consid. 4a ; CPF 7 juin 2019/70 consid. II c). La reconnaissance de dette entraîne un renversement du fardeau de la preuve. Le créancier n'a pas à prouver la cause de sa créance, ni la réalisation d'autres conditions que celles qui sont indiquées dans l'acte. En revanche, il appartient au débiteur qui conteste la dette d’établir quelle est la cause de l'obligation (en cas de reconnaissance abstraite), respectivement de démontrer que la cause de l'obligation n'est pas valable, par exemple parce que le rapport juridique à la base de la reconnaissance est inexistant, ou nul (art. 19 et 20 CO), ou a été simulé (art. 18 al. 1 CO) ou invalidé (art. 31 CO) (Tevini, op. cit. , n. 7 ad art. 17 CO ; TF 4A_201/ 2018 consid. 3.3.1.3 précité ; TF 4A_152/2013 consid. 2.3 précité ; ATF 131 III 268 consid. 3.2 ; ATF 105 II 183 consid. 4a). c) Conformément à l'art. 82 al. 2 LP, le poursuivi peut faire échec à la mainlevée en rendant immédiatement vraisemblable sa libération. Il peut se prévaloir de tous les moyens de droit civil - exceptions ou objections - qui infirment la reconnaissance de dette ( ATF 145 III 20 consid. 4.1.2 ; 142 III 720 consid. 4.1 et la référence). Il n'a pas à apporter la preuve absolue (ou stricte) de ses moyens libéra-toires, mais seulement à les rendre vraisemblables, en principe par titre (art. 254 al. 1 CPC ; ATF 145 III 20 consid. 4.1.2 ; ATF 142 III 720 consid. 4.1 et les références). Le juge n'a pas à être persuadé de l'existence des faits allégués ; il doit, en se fondant sur des éléments objectifs, avoir l'impression qu'ils se sont produits, sans exclure pour autant la possibilité qu'ils se soient déroulés autrement ( ATF 145 III 213 consid. 6.1.3 ; 142 III 720 consid. 4.1 ; 132 III 140 consid. 4.1.2 et les références). d) Selon la jurisprudence, les conditions d’octroi de la mainlevée provi-soire de l’opposition, qui est un pur incident de la poursuite (ATF 139 III 444 consid. 4.1.1 et les références citées),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consid. 2.2.1, Staehelin, in Staehelin/Bauer/Staehelin Basler Kommentar SchKG I, 3 e éd., n. 174 ad art. 82 LP ; TC Bâle campagne, Basler Juristische Mitteilungen [BJM] 1989, pp. 258 ss ; CPF 19 juin 2021/125 ; CPF 31 décembre 2019/299 ; CPF 15 juillet 2013/297 ; CPF 6 février 2015/27 ; CPF</w:t>
      </w:r>
    </w:p>
    <w:p>
      <w:r>
        <w:rPr>
          <w:b/>
        </w:rPr>
        <w:t>E. 4</w:t>
      </w:r>
    </w:p>
    <w:p>
      <w:r>
        <w:t>ad art. 17 CO). Comme elle engendre une obligation spécifique (Jäggi, Commentaire zurichois, n. 13 ad art. 17 CO) et doit en principe, sur le plan du droit international privé, être rattachée de manière indépendante (TF 4A 264/2008 du 23 septembre 2008 consid. 3.2.2 ; Schwenzer, Commentaire bâlois, 4 e éd. 2007, n. 15 ad art. 17 CO). Ainsi, si on considère la reconnaissance de dette pour elle-même – ce qu’il convient de faire en vertu de la jurisprudence et de la doctrine précitées – on constate que celle-ci a été émise à Genève, par un débiteur domicilié en Suisse, à qui incombe la prestation à exécuter, à savoir le paiement de la dette reconnue. C’est donc manifestement le droit suisse qui régit cette déclaration unilatérale. C’est donc en vain que la recourante soutient que la reconnaissance de dette signée le</w:t>
      </w:r>
    </w:p>
    <w:p>
      <w:r>
        <w:rPr>
          <w:b/>
        </w:rPr>
        <w:t>E. 8</w:t>
      </w:r>
    </w:p>
    <w:p>
      <w:r>
        <w:t>novembre 2017 serait invalide au regard du droit français. c) L’argument de la recourante consistant à dire que la dette causale, à savoir le prêt à l’origine de la reconnaissance de dette, serait prescrite selon le droit français, est sans pertinence. En effet, même si le droit français s’appliquait et permettait de constater la prescription – ce que l’intéressée n’établit pas, alors même qu’il s’agit d’un moyen libératoire qu’il lui incombait de rendre vraisemblable (art. 82 al. 2 LP ; Veuillet, op. cit., n. 103 ad art. 82 LP ; CPF 23 avril 2018/54) – force est de constater que rien n’empêche un débiteur de reconnaître une dette prescrite. d) La reconnaissance de dette signée le 8 novembre 2017 étant soumise au droit suisse (cf. lettre b) ci-dessus), le moyen libératoire tiré d’un prétendu vice du consentement doit être examiné au regard de ce même droit. da) Pour faire échec à la mainlevée, le poursuivi peut se prévaloir des vices de la volonté au sens des art. 23 ss CO (TF 5A_892/2015 du 16 février 2016, SJ 2016 I 437 ; TF 5A_652/2011 du 28 février 2012 consid. 3.2.2 et la référence citée). A teneur de l'art. 23 CO, le contrat n'oblige pas celle des parties qui, au moment de conclure, se trouvait dans une erreur essentielle. Selon l'art. 24 al. 1 ch. 4 CO,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 135 III 537 consid. 2.2 ; 132 III 737 consid. 1.3). En revanche, une erreur qui concerne uniquement les motifs du contrat n'est pas essentielle (art. 24 al. 2 CO). Elle consiste certes en une fausse représentation de la réalité, mais porte sur les motifs de la conclusion du contrat ; celui qui s'est trompé doit en supporter les conséquences (TF 4C.335/2005 du 13 octobre 2006 consid. 2.1 ; Tercier/ Pichonnaz, Le droit des obligations, 5 ème éd., n. 800, p. 179).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p. 532, rés. in SJ 2011 I 267 ; ATF 132 II 161 consid. 4.1 p. 165 ; ATF 129 III 320 consid. 6.3 p. 326, JdT 2003 I 331). C'est au moment de la conclusion du contrat que la victime doit subir l'influence du dol. Ce qui s'est passé avant ou après ne fait pas partie du dol selon l'art. 28 CO (Schmidlin, in : Thévenoz/Werro (éd.), Commentaire romand, Code des obligations, vol I, 2 e éd. 2012, n. 2 ad art. 28 CO).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consid.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3a, JdT 1982 I 77 ; ATF 105 II 75 consid. 2a, JdT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consid. 4).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que l'art. 31 CO n'instaure pas un délai de prescription, mais un délai de péremption (ATF 114 Il 131 consid. 2b), qui ne peut être ni suspendu ni inter-rompu en application des art. 134 ss CO (Schwenzer, in Honsell/Vogt/Wiegand (éd.), Basler Kommentar, Obligationenrecht (OR), vol. I, Bâle, 6 ème éd. 2015, n. 11 ad art. 31 CO, pp. 259 s.). L'acte d'invalidation doit exprimer avec suffisamment de clarté, explicitement ou implicitement, que la victime n'entend pas maintenir le contrat pour vice de la volonté (ATF 106 II 346 consid. 3a, JdT 1982 I 77 ; TF 4A_173/2010 du 22 juin 2010 consid. 3.3 ; Schwenzer, op. cit., n. 3 ad art. 31 CO, p. 258 ; Schmidlin, in : Thévenoz/Werro (éd.), Commentaire romand, Code des obligations, vol I, 2 ème éd. 2012, n. 14 ad art. 31 CO ; Schmidlin, Berner Kommentar, OR, Berne 2013, n. 68 ss ad art. 31 CO, pp. 314 ss). Il n'est toutefois pas nécessaire que la déclaration se réfère à l'un des trois vices du consentement. Le fait de se prévaloir d'abord d'une erreur n'exclut par ailleurs pas d'invoquer ensuite le dol (ATF 106 II 349 consid. 3, JdT 1982 I 77 ; Schwenzer, op. cit., n. 9 ad art. 31 CO, p. 258).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op. cit., n. 71 ad art. 31 CO, p. 314 ; TF 4A_173/2010, précité, consid. 3.4). Enfin, la déclara-tion d'invalidation est sujette à réception, ce qui signifie qu'elle n'a d'effet qui si elle est arrivée dans la sphère d'influence du cocontractant (Schmidlin, op. cit., n. 68 ad art. 31 CO, p. 314 ; Schwenzer, op. cit., n. 10 ad art. 31 CO, p. 259). Lorsqu'un contrat est invalidé en raison d'un vice de la volonté et que cette invalidation est fondée, le contrat est résolu avec un effet ex tunc (ATF 128 III 70, JdT 2003 I 4). Tout ce qui vient d'être exposé sur l'invalidation du contrat vaut pour la reconnaissance de dette, qui peut aussi être invalidée pour vice du consentement, par exemple pour dol, erreur essentielle ou crainte fondée (TF 4C.335/1999 du 25 août 2000 consid. 3b ; ATF 96 II 25 consid. 1 et les références citées ; ATF 33 II 405 ; ATF 26 II 403 ; CPF 20 août 2015/242 ; Engel, Traité des obligations en droit suisse, p. 157 ; Schmidlin, op. cit., n. 52 ad art. 17 OR, p. 505 ; Schwenzer, op. cit., n. 9 ad art. 17 OR, p. 130 ; CPF 6 juillet 2018/109).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(TF 5A_892/2015 du 16 février 2016 consid. 4.3.2, SJ 2016 I 437 ; Veuillet, op. cit. n. 122 ad art. 82 LP). db) En l’espèce, la recourante fait valoir que la reconnaissance de dette litigieuse aurait été signée hâtivement en l’étude de l’avocate de l’intimé, qui n’aurait pas informé feu [...] , non assisté, que la dette était prescrite ni de la nécessité pour lui de consulter un avocat et aurait ainsi « œuvré pour l’obtention de sa signature », tout en admettant que « l’on ignore les moyens utilisés dans cette discussion » (recours, p. 5). Or, force est de constater qu’hormis ses affirmations péremptoires, la recourante n’apporte pas le moindre élément susceptible de rendre vraisemblable que les conditions strictes d'une erreur essentielle seraient remplies, ni que feu [...] aurait par la suite invalidé ou tenté d’invalider l’acte en question. Au contraire, il ressort des éléments du dossier que le prénommé était rompu aux affaires, ce qui rend peu crédible l’allégation selon laquelle il n’aurait pas compris ce qu’il signait, se serait mépris sur des éléments nécessaires à l’engage-ment qu’il a pris ou n’aurait pas su qu’il avait la possibilité de prendre conseil auprès d’un avocat avant de signer la reconnaissance de dette en cause. Rien n’indique non plus qu’il aurait été malade à l’époque de la signature. Ainsi, la recourante n’établit pas, même au degré de la vraisemblance, que l’acte du 8 novembre 2017 aurait signé sous l’empire d’un vice du consente-ment. e) Le poursuivant allègue que le montant de 722'317 euros reconnu par feu [...] dans l’acte du 8 novembre 2017 représente le solde dû par ce dernier en remboursement de divers prêts qu’il lui a accordés de son vivant à titre privé. Selon la poursuivie, les montants prêtés l’auraient été à la société [...], propriété de son défunt époux. Il s’agirait donc d’une affaire commerciale. Elle en veut pour preuve que les montants en cause ont été versés en faveur de la société [...] et que les remboursements effectués l’ont été sur le compte de la société [...] appartement au poursuivant. Elle en conclut que la débitrice de la dette est la société [...] et non feu son époux. Bien qu’elle ne le formule pas clairement, on peut considérer que la recourante soutient ici que la reconnaissance de dette invoquée comme titre à la mainlevée ne reposerait pas sur une cause valable. A cet égard, on observe tout d’abord que la reconnaissance de dette litigieuse ne précise pas sa cause. On peut toutefois admettre, comme l’a fait la juge de paix sans être contredite par les parties, qu’il est vraisemblable que le montant reconnu représente le solde des divers prêts octroyés par le poursuivant et qui ont fait l’objet des accords signés les 25 octobre 2011 et le 16 janvier 2012 par feu [...], qui y reconnaît avoir reçu de S.________ différentes sommes totalisant un peu plus de 1'450'000 fr. selon la formulation suivante : « [...], (…) via [...]/[...] reconnaît avoir reçu de la part de S.________, (…), les montants ci-après (…) ». Contrairement à ce que soutient la recourante, le fait que S.________ et feu [...], qui étaient amis et en relations d’affaires, aient effectués ces transactions par l’intermédiaire de leurs sociétés respectives ne signifie pas que leur responsabilité personnelle n’était pas engagée, en particulier celle du défunt. Les pièces figurant au dossier tendent au contraire à démontrer que les engagements de feu [...] à l’origine de la reconnaissance de dette du 8 novembre 2017 ont été pris à titre personnel. Il ressort en particulier des accords signés les 25 octobre 2011 et 16 janvier 2012 que feu [...] reconnaît avoir reçu de S.________ les sommes indiquées « via [...]/[...] ». Or, on voit mal comment on pourrait inférer de l’expression « via [...]/[...] » - qui englobe non seulement la société [...] mais également une banque privée, [...], qui n’a a priori aucun rapport avec l’intéressé -, que ce sont ces dernières ou seulement [...] qui reconnaissent avoir reçu, ou que ce serait au nom de ces deux entités ou d’[...] seulement que feu [...] aurait reçu, les montants en cause. Il apparaît au contraire beaucoup plus vraisemblable que la mention « via [...]/[...] » signifiait aux yeux des parties que les montants en question ont été versés « par l’intermédiaire » de ces deux entités à feu [...], qui en était le destina-taire final. Aucun autre document figurant au dossier permet par ailleurs de penser que la société [...] serait débitrice du montant en poursuite. Par surabondance, on relèvera que même si le prêt avait été octroyé à [...], on ne voit pas ce qui aurait empêché le défunt de se reconnaître personnellement débiteur d’une dette de sa société. La recourante échoue ainsi à rendre vraisemblable que la reconnais-sance de dette du 8 novembre 2017 ne reposerait pas sur une cause valable. V. a) Au vu de ce qui précède, il y a lieu de constater que le poursuivant est au bénéfice d’un titre de mainlevée provisoire pour le montant de 722'317 euros. S’agissant de la conversion en francs suisses du montant exprimé eu euros dans la reconnaissance de dette, les considérants de la première juge peuvent être confirmés. Ce point n’est du reste pas contesté. b) Concernant les intérêts, réclamés au taux de 5% dès le 8 novembre 2017, la recourante fait valoir qu’ils ne figurent pas dans la réquisition de poursuite, que la reconnaissance de dette ne prévoit aucun intérêt moratoire, que le droit français s’applique en lieu et place de l’art. 104 CO et qu’en tout état de cause, l’inventaire successoral ne prévoit aucun intérêt pour le montant colloqué en lien avec la reconnaissance de dette. Le droit suisse s’appliquant à la reconnaissance de dette (consid. IV a) supra ), la question des intérêts moratoires relatifs la créance reconnue est égale-ment soumise à ce droit. Il est pour le reste exact que la reconnaissance de dette ne prévoit pas d’intérêt moratoire. Cela n’empêche toutefois pas le créancier de prétendre au versement, en sus de la créance en capital, d’un intérêt moratoire, qui, contrairement à ce que prétend la recourante, n’a pas besoin de résulter du titre de mainlevée produit (Veuillet, op. cit., n. 62 ad. art. 82 LP). L’intérêt moratoire est par ailleurs bien mentionné dans la réquisition de poursuite. La reconnaissance de dette du 8 novembre 2017 ne prévoit pas de date de paiement fixe. Le poursuivant a toutefois mis la recourante en demeure de s’acquitter du montant de 722'317 euros reconnu par son défunt époux par lettre du 23 mars 2021. L’intérêt moratoire au taux légal de 5% (art. 104 al. 1 CO) est donc dû dès le lendemain, soit le 24 mars 2021. Cette date étant postérieure à l’inventaire successoral, il importe peu que la collocation ne fasse pas mention des intérêts ayant pu courir antérieurement. c) Dans ces circonstances, c’est à juste titre que la juge de paix a prononcé la mainlevée provisoire de l’opposition à concurrence de 778'007 fr. 64, calculé sur la base du taux de conversion en vigueur au jour de la réquisition de poursuite. En revanche, les intérêts au taux de 5% l’an n’auraient dû être accordés qu’à compter du 24 mars 2021. VI. En conclusion, le recours doit être très partiellement admis en ce sens que l'opposition formée par le recourant au commandement de payer en cause est provisoirement levée à concurrence 778'007 fr. 64 avec intérêt à 5% l’an dès le 24 mars 2021 , l'opposition étant maintenue pour le surplus. Vu le caractère infiniment modeste de cette réforme, il faut considérer qu’elle n’a pas d’incidence sur la décision de première instance relative au sort des frais. Pour la même raison , l’entier des frais judiciaires de deuxième instance, arrêtés à 1'485 fr., doivent être mis à la charge de la recourante (art. 106 al. 1 CPC). Celle-ci devra en outre verser à l’intimé de plein dépens de deuxième instance, fixés à 6'000 fr. (art. 8 TDC [tarif du 23 novembre 2010 des dépens en matière civile ; BLV 270.11.6]). VII. Le présent arrêt rend sans objet la requête tendant au retrait de l’effet suspensif et à la fourniture de sûretés contenue dans la réponse de l’intimé du 28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